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300" w:firstLineChars="200"/>
        <w:jc w:val="center"/>
        <w:rPr>
          <w:rFonts w:ascii="Times New Roman" w:hAnsi="Times New Roman" w:eastAsia="仿宋_GB2312" w:cs="Times New Roman"/>
          <w:sz w:val="15"/>
          <w:szCs w:val="15"/>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文安县文化广电和旅游局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文安县文化广电和旅游局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hint="eastAsia" w:ascii="宋体" w:hAnsi="宋体" w:eastAsia="宋体"/>
          <w:sz w:val="32"/>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（一）贯彻执行党和国家文化广电、旅游和文物工作方针政策和法律法规。研究拟订全县文化广电、旅游和文物工作政策措施，起草全县文化广电、旅游和文物地方性有关规定和办法。</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（二）拟订全县文化事业、旅游产业、广播电视、文物领域发展规划并组织实施，加快文化和旅游融合发展，推进文化广电和旅游体制机制改革。</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管理全县性重大文化活动。指导全县重点文化设施建设和基层文化设施建设，组织文安旅游整体形象推广，促进文化和旅游产业对外合作和市场推广，制定全县旅游市场开发营销战略并组织实施，指导推进全域旅游。</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指导、管理全县文艺事业。指导艺术创作生产，扶持体现社会主义核心价值观、具有导向性代表性示范性的文艺作品，推动全县各门类艺术、各艺术品种发展。对文化艺术经营活动进行行业监管，对全县从事演艺活动的民办机构进行监管。</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（五）负责全县公共文化事业发展。指导图书馆、文化馆（站）博物馆发展建设。推进全县文化、旅游和广播电视公共服务体系建设；深入实施文化惠民工程，统筹推进全县基本公共文化服务标准化、均等化。</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（六）指导推进全县文化、旅游行业信息化、标准化建设，推进广播电视科技创新发展。</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（七）负责全县非物质文化遗产保护，推动非物质文化遗产的保护、传承、普及、弘扬和振兴。</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（八）统筹规划全县文化产业和旅游产业。组织实施文化和旅游资源普查、挖掘、保护和利用工作，促进文化产业和旅游产业发展。</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（九）指导全县文化和旅游市场发展。对文化、旅游和广播电视市场经营进行行业监管，推进全县文化、旅游和广播电视行业信用体系建设，依法规范文化、旅游和广播电视市场。</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指导协调广播电视全县性重大宣传活动。负责对全县各类广播电视机构进行业务指导和行业监管，监管全县广播电视节目、网络视听节目和公共视听载体播放的视听节目，会同有关部门对全县网络视听节目服务机构进行管理，指导、监管全县广播电视广告播放。</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指导和监管全县广播电视重点基础设施建设。指导、推进全县广播电视领域体制机制改革。组织实施全县广播电视公共服务重大公益工程和公益活动，负责推进广播电视与新媒体新技术新业态融合发展，推进广电网与电信网、互联网三网融合，促进智慧广电发展。</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（十二）负责对全县广播电视节目传输覆盖、监听、监看、监测的监管，推进全县应急广播体系建设，监管协调调度全县广播电视安全播出。负责全县广播电视统计工作。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（十三）指导全县文化市场综合执法。组织查处全县性、跨区域文化、文物、广播电视、旅游等市场的违法行为，督查督办大案要案，维护市场秩序。</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指导、管理全县文化、旅游、广播电视、文物领域对外交流、合作和宣传、推广工作。代表县政府签订对外文化和旅游合作协定，组织大型文化和旅游对外及对港澳台交流活动，推动中华文化和文安特色文化走出去。</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全县文物资源的调查、勘探、发掘工作；组织、协调全县文物保护和考古项目的实施工作；组织指导文物保护宣传工作；拟定文物保护制度和办法并负责督促检查；协调和指导文物保护工作，履行文物行政执法职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（十六）完成县委、县政府交办的其他任务。</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单位名称</w:t>
            </w:r>
          </w:p>
        </w:tc>
        <w:tc>
          <w:tcPr>
            <w:tcW w:w="1134"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单位性质</w:t>
            </w:r>
          </w:p>
        </w:tc>
        <w:tc>
          <w:tcPr>
            <w:tcW w:w="1276"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单位规格</w:t>
            </w:r>
          </w:p>
        </w:tc>
        <w:tc>
          <w:tcPr>
            <w:tcW w:w="2902"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1134"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1276"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90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文安县文化广电和旅游局</w:t>
            </w:r>
          </w:p>
        </w:tc>
        <w:tc>
          <w:tcPr>
            <w:tcW w:w="1134"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w:t>
            </w:r>
          </w:p>
        </w:tc>
        <w:tc>
          <w:tcPr>
            <w:tcW w:w="1276"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正科级</w:t>
            </w:r>
          </w:p>
        </w:tc>
        <w:tc>
          <w:tcPr>
            <w:tcW w:w="2902"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keepNext w:val="0"/>
              <w:keepLines w:val="0"/>
              <w:suppressLineNumbers w:val="0"/>
              <w:spacing w:before="0" w:beforeAutospacing="0" w:after="0" w:afterAutospacing="0" w:line="584" w:lineRule="exact"/>
              <w:ind w:left="0" w:right="0"/>
              <w:jc w:val="left"/>
              <w:rPr>
                <w:rFonts w:hint="default" w:ascii="Times New Roman" w:hAnsi="Times New Roman" w:eastAsia="仿宋_GB2312" w:cs="Times New Roman"/>
              </w:rPr>
            </w:pPr>
          </w:p>
        </w:tc>
        <w:tc>
          <w:tcPr>
            <w:tcW w:w="1134"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c>
          <w:tcPr>
            <w:tcW w:w="1276"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c>
          <w:tcPr>
            <w:tcW w:w="2902"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keepNext w:val="0"/>
              <w:keepLines w:val="0"/>
              <w:suppressLineNumbers w:val="0"/>
              <w:spacing w:before="0" w:beforeAutospacing="0" w:after="0" w:afterAutospacing="0" w:line="584" w:lineRule="exact"/>
              <w:ind w:left="0" w:right="0"/>
              <w:jc w:val="left"/>
              <w:rPr>
                <w:rFonts w:hint="default" w:ascii="Times New Roman" w:hAnsi="Times New Roman" w:eastAsia="仿宋_GB2312" w:cs="Times New Roman"/>
              </w:rPr>
            </w:pPr>
          </w:p>
        </w:tc>
        <w:tc>
          <w:tcPr>
            <w:tcW w:w="1134"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c>
          <w:tcPr>
            <w:tcW w:w="1276"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c>
          <w:tcPr>
            <w:tcW w:w="2902" w:type="dxa"/>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lang w:eastAsia="zh-CN"/>
        </w:rPr>
        <w:t>文安县文化广电和旅游局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5278.98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1278.98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，上年结转结余</w:t>
      </w:r>
      <w:r>
        <w:rPr>
          <w:rFonts w:hint="eastAsia" w:ascii="Times New Roman" w:hAnsi="Times New Roman" w:eastAsia="仿宋_GB2312" w:cs="Times New Roman"/>
          <w:sz w:val="32"/>
          <w:szCs w:val="32"/>
          <w:lang w:val="en-US" w:eastAsia="zh-CN"/>
        </w:rPr>
        <w:t>4000万元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文安县文化广电和旅游局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5278.98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699.42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679.64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19.78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4579.56</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eastAsia="zh-CN"/>
        </w:rPr>
        <w:t>中央补助地方公共文化服务体系建设专项资金、中央补助地方美术馆</w:t>
      </w:r>
      <w:r>
        <w:rPr>
          <w:rFonts w:hint="eastAsia" w:ascii="Times New Roman" w:hAnsi="Times New Roman" w:eastAsia="仿宋_GB2312" w:cs="Times New Roman"/>
          <w:sz w:val="32"/>
          <w:szCs w:val="32"/>
          <w:lang w:val="en-US" w:eastAsia="zh-CN"/>
        </w:rPr>
        <w:t xml:space="preserve"> 公共图书馆 文化馆（站）免费开放补助资金、中央非物质文化遗产保护资金</w:t>
      </w:r>
      <w:r>
        <w:rPr>
          <w:rFonts w:ascii="Times New Roman" w:hAnsi="Times New Roman" w:eastAsia="仿宋_GB2312" w:cs="Times New Roman"/>
          <w:sz w:val="32"/>
          <w:szCs w:val="32"/>
        </w:rPr>
        <w:t>等支出。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5278.98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4225.37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230.36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人员经费与日常公用经费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3995.01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上年结转结余资金</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19.78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我局</w:t>
      </w:r>
      <w:r>
        <w:rPr>
          <w:rFonts w:ascii="Times New Roman" w:hAnsi="Times New Roman" w:eastAsia="仿宋_GB2312" w:cs="Times New Roman"/>
          <w:sz w:val="32"/>
          <w:szCs w:val="32"/>
        </w:rPr>
        <w:t>办公区的日常维修、办公用房水电费、</w:t>
      </w:r>
      <w:r>
        <w:rPr>
          <w:rFonts w:hint="eastAsia" w:ascii="Times New Roman" w:hAnsi="Times New Roman" w:eastAsia="仿宋_GB2312" w:cs="Times New Roman"/>
          <w:sz w:val="32"/>
          <w:szCs w:val="32"/>
          <w:lang w:eastAsia="zh-CN"/>
        </w:rPr>
        <w:t>差旅费、公务用车运行维护费</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0.36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0.36</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lang w:val="en-US" w:eastAsia="zh-CN"/>
        </w:rPr>
        <w:t>2021年相比持平，无增减变化</w:t>
      </w:r>
      <w:r>
        <w:rPr>
          <w:rFonts w:ascii="Times New Roman" w:hAnsi="Times New Roman" w:eastAsia="仿宋_GB2312" w:cs="Times New Roman"/>
          <w:sz w:val="32"/>
          <w:szCs w:val="32"/>
        </w:rPr>
        <w:t>，公务用车运维费</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0.36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w:t>
      </w:r>
      <w:r>
        <w:rPr>
          <w:rFonts w:hint="eastAsia" w:ascii="Times New Roman" w:hAnsi="Times New Roman" w:eastAsia="仿宋_GB2312" w:cs="Times New Roman"/>
          <w:sz w:val="32"/>
          <w:szCs w:val="32"/>
          <w:lang w:eastAsia="zh-CN"/>
        </w:rPr>
        <w:t>严格按照公务公车运行维护标准执行</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lang w:val="en-US" w:eastAsia="zh-CN"/>
        </w:rPr>
        <w:t>2021年相比持平</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4"/>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推进文化惠民活动深入开展。开展文艺精品演出、戏曲进农村、进校园、燕赵系列读书活动等文旅节庆活动。加大“三馆一站一中心”免费开放力度，完善基层文化设施建设，购置大鼓、镲、铙等文化器材并按需发放；遴选有条件的村街建设2-3个文化广场，助力乡村振兴，推动公共文化服务高质量发展。推进文旅融合发展工作。谋划夏秋采摘活动、丰收节、书画摄影展等文旅节庆活动，促进文旅、农旅深度融合，增强我县文旅产品的知名度和影响力，助力文旅产业发展。推进文化市场监管服务工作。加大文化市场执法监管和案件查处力度，抓好文化市场安全监管，组织消防安全培训和安全演练，定期开展安全大检查。推动文化艺术中心运行。积极推进艺术中心人防工程建设，确保工程在保质保量的前提下按照时间节点进行，顺利通过骏工验收。</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（一）文化旅游艺术管理</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绩效目标：文化旅游艺术管理发展</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绩效指标：公共文化旅游服务水平不断提高。</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（二）文化旅游宣传交流</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绩效目标：文化旅游宣传交流发展</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绩效指标：宣传推介文旅资源，提升交流水平。</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（三）文化保护</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绩效目标：文化保护</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绩效指标：扶持、推动特色文化传承发扬。</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（四）广播影视产业建设</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绩效目标：广播影视产业建设</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绩效指标：统筹规划广播影视产业发展。</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（五）政务管理</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绩效指标:政务管理</w:t>
      </w:r>
    </w:p>
    <w:p>
      <w:pPr>
        <w:pStyle w:val="1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绩效指标：确保各项业务工作谋划到位、顺利开展。</w:t>
      </w:r>
    </w:p>
    <w:p>
      <w:pPr>
        <w:autoSpaceDE w:val="0"/>
        <w:autoSpaceDN w:val="0"/>
        <w:adjustRightInd w:val="0"/>
        <w:spacing w:line="584" w:lineRule="exact"/>
        <w:ind w:left="197" w:leftChars="94"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为确保规划目标的实现，加快推进我县文化旅游建设，促进文旅事业与产业的全面发展和可持续发展，要立足实际，着眼全局，与时俱进，抓好重点，全面推进。</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（一）完善制度建设</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完善并修定各类规章制度（如：预算绩效管理制度、资金管理办法等），保障预算绩效目标全面顺利开展。</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（二）加强支出管理</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通过优化支出结构、加快履行政府采购手续、尽快启动项目，及时支付资金，确保支付进度达标。</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（三）加强绩效运行监控</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开展绩效运行监控，发现问题及时采取措施，确保绩效目标如期保质实现。</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（四）做好绩效自评</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开展预算绩效自评和重点评价工作，对评价中发现的问题及时整改，优化支出结构，提高财政资金使用效益。</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（五）规范财务资产管理</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完善财务管理制度，严格审批程序，加强固定资产登记、使用和报废处置管理，做到支出合理，物尽其用。</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（六）加强内部监督</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成立内部监督工作领导小组，对绩效运行情况、资产处置等重要事项进行督导，确保财政资金安全有效。</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（七）加强宣传培训调研等</w:t>
      </w:r>
    </w:p>
    <w:p>
      <w:pPr>
        <w:pStyle w:val="16"/>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建立培养人才机制，建设高素质的人才队伍。1、充分认识人才队伍建设在文旅建设中的重要支撑作用，建立和完善人才选拔任用、教育培训机制，打造人尽其才、人才辈出的良好环境。2、建立文旅交流机制，增强对外文旅交流实力。广泛开展对外文旅交流与合作，巩固、深化与外地区的文旅关系，推动我先文旅“走出去”。3、推动体制机制创新，进一步增强文旅发展活力。认真落实文旅经验交流会精神，统筹规划，加强指导；同时，加强文化市场管理，建立权责明确、行为规范、监督有效、保障有力的文化市场执法体制。为实现我县文旅事业和文旅产业跨越式发展奠定基础。</w:t>
      </w:r>
    </w:p>
    <w:p>
      <w:pPr>
        <w:autoSpaceDE w:val="0"/>
        <w:autoSpaceDN w:val="0"/>
        <w:adjustRightInd w:val="0"/>
        <w:spacing w:line="584" w:lineRule="exact"/>
        <w:ind w:left="197" w:leftChars="94"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w:t>
      </w:r>
      <w:r>
        <w:rPr>
          <w:rFonts w:hint="eastAsia" w:ascii="楷体_GB2312" w:eastAsia="楷体_GB2312" w:cs="Times New Roman"/>
          <w:b/>
          <w:color w:val="auto"/>
          <w:sz w:val="32"/>
          <w:szCs w:val="32"/>
        </w:rPr>
        <w:t>出绩</w:t>
      </w:r>
      <w:r>
        <w:rPr>
          <w:rFonts w:hint="eastAsia" w:ascii="楷体_GB2312" w:eastAsia="楷体_GB2312" w:cs="Times New Roman"/>
          <w:b/>
          <w:sz w:val="32"/>
          <w:szCs w:val="32"/>
        </w:rPr>
        <w:t>效指标</w:t>
      </w:r>
    </w:p>
    <w:tbl>
      <w:tblPr>
        <w:tblStyle w:val="9"/>
        <w:tblpPr w:leftFromText="180" w:rightFromText="180" w:vertAnchor="text" w:horzAnchor="page" w:tblpX="2272" w:tblpY="641"/>
        <w:tblOverlap w:val="never"/>
        <w:tblW w:w="13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1"/>
        <w:gridCol w:w="1161"/>
        <w:gridCol w:w="3036"/>
        <w:gridCol w:w="1794"/>
        <w:gridCol w:w="2524"/>
        <w:gridCol w:w="523"/>
        <w:gridCol w:w="932"/>
        <w:gridCol w:w="93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048" w:hRule="atLeast"/>
          <w:tblHeader/>
        </w:trPr>
        <w:tc>
          <w:tcPr>
            <w:tcW w:w="551"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一级指标</w:t>
            </w:r>
          </w:p>
        </w:tc>
        <w:tc>
          <w:tcPr>
            <w:tcW w:w="1161"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二级</w:t>
            </w:r>
          </w:p>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指标</w:t>
            </w:r>
          </w:p>
        </w:tc>
        <w:tc>
          <w:tcPr>
            <w:tcW w:w="3036"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三级</w:t>
            </w:r>
          </w:p>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指标</w:t>
            </w:r>
          </w:p>
        </w:tc>
        <w:tc>
          <w:tcPr>
            <w:tcW w:w="1794"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评（扣）分标准</w:t>
            </w:r>
          </w:p>
        </w:tc>
        <w:tc>
          <w:tcPr>
            <w:tcW w:w="2524"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绩效指标</w:t>
            </w:r>
          </w:p>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描述</w:t>
            </w:r>
          </w:p>
        </w:tc>
        <w:tc>
          <w:tcPr>
            <w:tcW w:w="2388"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指标值</w:t>
            </w:r>
          </w:p>
        </w:tc>
        <w:tc>
          <w:tcPr>
            <w:tcW w:w="1866"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指标值</w:t>
            </w:r>
          </w:p>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07" w:hRule="atLeast"/>
          <w:tblHeader/>
        </w:trPr>
        <w:tc>
          <w:tcPr>
            <w:tcW w:w="551"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61"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3036"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794"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2524"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52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符号</w:t>
            </w:r>
          </w:p>
        </w:tc>
        <w:tc>
          <w:tcPr>
            <w:tcW w:w="932"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值</w:t>
            </w:r>
          </w:p>
        </w:tc>
        <w:tc>
          <w:tcPr>
            <w:tcW w:w="93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b/>
              </w:rPr>
            </w:pPr>
            <w:r>
              <w:rPr>
                <w:rFonts w:hint="default" w:ascii="方正书宋_GBK" w:eastAsia="方正书宋_GBK"/>
                <w:b/>
              </w:rPr>
              <w:t>单位</w:t>
            </w:r>
          </w:p>
        </w:tc>
        <w:tc>
          <w:tcPr>
            <w:tcW w:w="1866"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r>
    </w:tbl>
    <w:p/>
    <w:tbl>
      <w:tblPr>
        <w:tblStyle w:val="9"/>
        <w:tblpPr w:leftFromText="180" w:rightFromText="180" w:vertAnchor="text" w:horzAnchor="page" w:tblpX="2272" w:tblpY="1565"/>
        <w:tblOverlap w:val="never"/>
        <w:tblW w:w="13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2"/>
        <w:gridCol w:w="1155"/>
        <w:gridCol w:w="3028"/>
        <w:gridCol w:w="1817"/>
        <w:gridCol w:w="2513"/>
        <w:gridCol w:w="518"/>
        <w:gridCol w:w="934"/>
        <w:gridCol w:w="93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trPr>
        <w:tc>
          <w:tcPr>
            <w:tcW w:w="572"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部门产出</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adjustRightInd w:val="0"/>
              <w:snapToGrid w:val="0"/>
              <w:spacing w:before="0" w:beforeAutospacing="0" w:after="0" w:afterAutospacing="0"/>
              <w:ind w:left="0" w:right="0"/>
              <w:jc w:val="center"/>
              <w:rPr>
                <w:rFonts w:hint="default" w:ascii="方正书宋_GBK" w:eastAsia="方正书宋_GBK"/>
              </w:rPr>
            </w:pPr>
          </w:p>
        </w:tc>
        <w:tc>
          <w:tcPr>
            <w:tcW w:w="115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数量</w:t>
            </w:r>
          </w:p>
        </w:tc>
        <w:tc>
          <w:tcPr>
            <w:tcW w:w="302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组织文旅活动及培训次数</w:t>
            </w:r>
          </w:p>
        </w:tc>
        <w:tc>
          <w:tcPr>
            <w:tcW w:w="181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举办活动及培训次数</w:t>
            </w:r>
          </w:p>
        </w:tc>
        <w:tc>
          <w:tcPr>
            <w:tcW w:w="251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实际举办的文旅活动及培训次数</w:t>
            </w:r>
          </w:p>
        </w:tc>
        <w:tc>
          <w:tcPr>
            <w:tcW w:w="51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r>
              <w:rPr>
                <w:rFonts w:hint="eastAsia" w:ascii="方正书宋_GBK" w:eastAsia="方正书宋_GBK"/>
                <w:lang w:val="en-US" w:eastAsia="zh-CN"/>
              </w:rPr>
              <w:t>100</w:t>
            </w:r>
          </w:p>
        </w:tc>
        <w:tc>
          <w:tcPr>
            <w:tcW w:w="93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次</w:t>
            </w:r>
          </w:p>
        </w:tc>
        <w:tc>
          <w:tcPr>
            <w:tcW w:w="186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举办活动及培训次数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980" w:hRule="atLeast"/>
        </w:trPr>
        <w:tc>
          <w:tcPr>
            <w:tcW w:w="572"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数量</w:t>
            </w:r>
          </w:p>
        </w:tc>
        <w:tc>
          <w:tcPr>
            <w:tcW w:w="302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各种工程建设和配套设施数量</w:t>
            </w:r>
          </w:p>
        </w:tc>
        <w:tc>
          <w:tcPr>
            <w:tcW w:w="181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工程建设个数、设备购买数量</w:t>
            </w:r>
          </w:p>
        </w:tc>
        <w:tc>
          <w:tcPr>
            <w:tcW w:w="2513"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各种工程建设个数和配套设施购买数量</w:t>
            </w:r>
          </w:p>
        </w:tc>
        <w:tc>
          <w:tcPr>
            <w:tcW w:w="51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val="en-US" w:eastAsia="zh-CN"/>
              </w:rPr>
            </w:pPr>
            <w:r>
              <w:rPr>
                <w:rFonts w:hint="eastAsia" w:ascii="方正书宋_GBK" w:eastAsia="方正书宋_GBK"/>
                <w:lang w:val="en-US" w:eastAsia="zh-CN"/>
              </w:rPr>
              <w:t>2</w:t>
            </w:r>
          </w:p>
        </w:tc>
        <w:tc>
          <w:tcPr>
            <w:tcW w:w="935"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个、批</w:t>
            </w:r>
          </w:p>
        </w:tc>
        <w:tc>
          <w:tcPr>
            <w:tcW w:w="186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工程建设个数、设备购买数量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980" w:hRule="atLeast"/>
        </w:trPr>
        <w:tc>
          <w:tcPr>
            <w:tcW w:w="572"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质量</w:t>
            </w:r>
          </w:p>
        </w:tc>
        <w:tc>
          <w:tcPr>
            <w:tcW w:w="30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器材配备和使用率</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器材购买数量、使用率</w:t>
            </w:r>
          </w:p>
        </w:tc>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器材配备是否及时、到位；使用情况</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器材购买数量、使用率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66" w:hRule="atLeast"/>
        </w:trPr>
        <w:tc>
          <w:tcPr>
            <w:tcW w:w="57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方正书宋_GBK" w:eastAsia="方正书宋_GBK"/>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质量</w:t>
            </w:r>
          </w:p>
        </w:tc>
        <w:tc>
          <w:tcPr>
            <w:tcW w:w="30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完成率</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工程完成量</w:t>
            </w:r>
          </w:p>
        </w:tc>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各类工程按时按质完成的数量</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val="en-US" w:eastAsia="zh-CN"/>
              </w:rPr>
            </w:pPr>
            <w:r>
              <w:rPr>
                <w:rFonts w:hint="eastAsia" w:ascii="方正书宋_GBK" w:eastAsia="方正书宋_GBK"/>
                <w:lang w:val="en-US" w:eastAsia="zh-CN"/>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r>
              <w:rPr>
                <w:rFonts w:hint="eastAsia" w:ascii="方正书宋_GBK" w:eastAsia="方正书宋_GBK"/>
                <w:lang w:val="en-US" w:eastAsia="zh-CN"/>
              </w:rPr>
              <w:t>100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工程完成量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032" w:hRule="atLeast"/>
        </w:trPr>
        <w:tc>
          <w:tcPr>
            <w:tcW w:w="572"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时效</w:t>
            </w:r>
          </w:p>
        </w:tc>
        <w:tc>
          <w:tcPr>
            <w:tcW w:w="30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资金支出</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支付进度</w:t>
            </w:r>
          </w:p>
        </w:tc>
        <w:tc>
          <w:tcPr>
            <w:tcW w:w="25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在20</w:t>
            </w:r>
            <w:r>
              <w:rPr>
                <w:rFonts w:hint="eastAsia" w:ascii="方正书宋_GBK" w:eastAsia="方正书宋_GBK"/>
                <w:lang w:val="en-US" w:eastAsia="zh-CN"/>
              </w:rPr>
              <w:t>22</w:t>
            </w:r>
            <w:r>
              <w:rPr>
                <w:rFonts w:hint="eastAsia" w:ascii="方正书宋_GBK" w:eastAsia="方正书宋_GBK"/>
              </w:rPr>
              <w:t>年度完成各项资金支出进度要求，保障文广旅游局各项工作顺利开展。完成年内项目组织管理任务，做好各类项目执行的全过程监督管理工作，确保各类项目按计划有效实施。</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支付进度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trPr>
        <w:tc>
          <w:tcPr>
            <w:tcW w:w="572" w:type="dxa"/>
            <w:vMerge w:val="continue"/>
            <w:tcBorders>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default" w:ascii="方正书宋_GBK" w:eastAsia="方正书宋_GBK"/>
              </w:rPr>
              <w:t>成本</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076" w:hRule="atLeast"/>
        </w:trPr>
        <w:tc>
          <w:tcPr>
            <w:tcW w:w="572"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r>
              <w:rPr>
                <w:rFonts w:hint="default" w:ascii="方正书宋_GBK" w:eastAsia="方正书宋_GBK"/>
              </w:rPr>
              <w:t>部门</w:t>
            </w:r>
            <w:r>
              <w:rPr>
                <w:rFonts w:hint="eastAsia" w:ascii="方正书宋_GBK" w:eastAsia="方正书宋_GBK"/>
              </w:rPr>
              <w:t>效果</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default" w:ascii="方正书宋_GBK" w:eastAsia="方正书宋_GBK"/>
              </w:rPr>
              <w:t>社会效益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投入使用后的效果</w:t>
            </w: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使用情况</w:t>
            </w: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各种工程建设和配套设施投入使用的效果</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431"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default" w:ascii="方正书宋_GBK" w:eastAsia="方正书宋_GBK"/>
              </w:rPr>
              <w:t>社会效益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项目对社会发展带来的影响和效果</w:t>
            </w: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群众满意度</w:t>
            </w: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丰富广大群众业余生活，提升幸福指数，打响文安旅游品牌。</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721"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default" w:ascii="方正书宋_GBK" w:eastAsia="方正书宋_GBK"/>
              </w:rPr>
              <w:t>社会效益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项目对社会发展带来的影响和效果</w:t>
            </w: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群众满意度</w:t>
            </w: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推进文旅市场安全、有序运转。</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245"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eastAsia" w:ascii="方正书宋_GBK" w:eastAsia="方正书宋_GBK"/>
              </w:rPr>
              <w:t>经济效益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230"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方正书宋_GBK" w:eastAsia="方正书宋_GBK"/>
              </w:rPr>
            </w:pPr>
            <w:r>
              <w:rPr>
                <w:rFonts w:hint="eastAsia" w:ascii="方正书宋_GBK" w:eastAsia="方正书宋_GBK"/>
              </w:rPr>
              <w:t>生态效益</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215" w:hRule="atLeast"/>
        </w:trPr>
        <w:tc>
          <w:tcPr>
            <w:tcW w:w="572"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方正书宋_GBK" w:eastAsia="方正书宋_GBK"/>
              </w:rPr>
            </w:pPr>
            <w:r>
              <w:rPr>
                <w:rFonts w:hint="eastAsia" w:ascii="方正书宋_GBK" w:eastAsia="方正书宋_GBK"/>
              </w:rPr>
              <w:t>可持续影响</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val="en-US" w:eastAsia="zh-CN"/>
              </w:rPr>
            </w:pP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70" w:hRule="atLeast"/>
        </w:trPr>
        <w:tc>
          <w:tcPr>
            <w:tcW w:w="572"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方正书宋_GBK" w:eastAsia="方正书宋_GBK"/>
              </w:rPr>
            </w:pPr>
            <w:r>
              <w:rPr>
                <w:rFonts w:hint="eastAsia" w:ascii="方正书宋_GBK" w:eastAsia="方正书宋_GBK"/>
              </w:rPr>
              <w:t>满意度</w:t>
            </w:r>
          </w:p>
        </w:tc>
        <w:tc>
          <w:tcPr>
            <w:tcW w:w="30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服务对象满意度指标</w:t>
            </w:r>
          </w:p>
        </w:tc>
        <w:tc>
          <w:tcPr>
            <w:tcW w:w="1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受益对象的满意度</w:t>
            </w:r>
          </w:p>
        </w:tc>
        <w:tc>
          <w:tcPr>
            <w:tcW w:w="251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群众对基本公共服务的满意度</w:t>
            </w:r>
          </w:p>
        </w:tc>
        <w:tc>
          <w:tcPr>
            <w:tcW w:w="5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w:t>
            </w:r>
          </w:p>
        </w:tc>
        <w:tc>
          <w:tcPr>
            <w:tcW w:w="9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方正书宋_GBK" w:eastAsia="方正书宋_GBK"/>
                <w:lang w:val="en-US" w:eastAsia="zh-CN"/>
              </w:rPr>
            </w:pPr>
            <w:r>
              <w:rPr>
                <w:rFonts w:hint="eastAsia" w:ascii="方正书宋_GBK" w:eastAsia="方正书宋_GBK"/>
                <w:lang w:val="en-US" w:eastAsia="zh-CN"/>
              </w:rPr>
              <w:t>90</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lang w:eastAsia="zh-CN"/>
              </w:rPr>
            </w:pPr>
            <w:r>
              <w:rPr>
                <w:rFonts w:hint="eastAsia" w:ascii="方正书宋_GBK" w:eastAsia="方正书宋_GBK"/>
                <w:lang w:eastAsia="zh-CN"/>
              </w:rPr>
              <w:t>百分比</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方正书宋_GBK" w:eastAsia="方正书宋_GBK"/>
              </w:rPr>
            </w:pPr>
            <w:r>
              <w:rPr>
                <w:rFonts w:hint="eastAsia" w:ascii="方正书宋_GBK" w:eastAsia="方正书宋_GBK"/>
              </w:rPr>
              <w:t>受益对象的满意度</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202</w:t>
      </w:r>
      <w:r>
        <w:rPr>
          <w:rFonts w:hint="eastAsia" w:ascii="Times New Roman" w:hAnsi="Times New Roman" w:eastAsia="仿宋_GB2312" w:cs="Times New Roman"/>
          <w:sz w:val="28"/>
          <w:lang w:val="en-US" w:eastAsia="zh-CN"/>
        </w:rPr>
        <w:t>1</w:t>
      </w:r>
      <w:r>
        <w:rPr>
          <w:rFonts w:hint="eastAsia" w:ascii="Times New Roman" w:hAnsi="Times New Roman" w:eastAsia="仿宋_GB2312" w:cs="Times New Roman"/>
          <w:sz w:val="28"/>
        </w:rPr>
        <w:t>年中央补助地方公共文化服务体系建设专项资金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9"/>
        <w:tblW w:w="14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253"/>
        <w:gridCol w:w="2653"/>
        <w:gridCol w:w="2696"/>
        <w:gridCol w:w="1831"/>
        <w:gridCol w:w="2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1" w:hRule="atLeast"/>
          <w:tblHeader/>
          <w:jc w:val="center"/>
        </w:trPr>
        <w:tc>
          <w:tcPr>
            <w:tcW w:w="239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668"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eastAsia" w:ascii="Times New Roman" w:hAnsi="Times New Roman" w:eastAsia="仿宋_GB2312" w:cs="Times New Roman"/>
                <w:kern w:val="2"/>
                <w:sz w:val="21"/>
                <w:szCs w:val="22"/>
                <w:lang w:val="en-US" w:eastAsia="zh-CN" w:bidi="ar-SA"/>
              </w:rPr>
              <w:t>1. 提高公共文化服务效能，有效的促进我县公共文化事业的发展。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0" w:hRule="atLeast"/>
          <w:tblHeader/>
          <w:jc w:val="center"/>
        </w:trPr>
        <w:tc>
          <w:tcPr>
            <w:tcW w:w="239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5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265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269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83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23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4" w:hRule="atLeast"/>
          <w:jc w:val="center"/>
        </w:trPr>
        <w:tc>
          <w:tcPr>
            <w:tcW w:w="239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戏曲进校园25场、戏曲进乡村15场</w:t>
            </w:r>
          </w:p>
        </w:tc>
        <w:tc>
          <w:tcPr>
            <w:tcW w:w="269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戏曲进校园、乡村活动</w:t>
            </w:r>
          </w:p>
        </w:tc>
        <w:tc>
          <w:tcPr>
            <w:tcW w:w="1831"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40场</w:t>
            </w:r>
          </w:p>
        </w:tc>
        <w:tc>
          <w:tcPr>
            <w:tcW w:w="223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实际举办场次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4" w:hRule="atLeast"/>
          <w:jc w:val="center"/>
        </w:trPr>
        <w:tc>
          <w:tcPr>
            <w:tcW w:w="239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送文化下乡惠民演出活动4场</w:t>
            </w:r>
          </w:p>
        </w:tc>
        <w:tc>
          <w:tcPr>
            <w:tcW w:w="269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文化下乡惠民活动</w:t>
            </w:r>
          </w:p>
        </w:tc>
        <w:tc>
          <w:tcPr>
            <w:tcW w:w="1831"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4场</w:t>
            </w:r>
          </w:p>
        </w:tc>
        <w:tc>
          <w:tcPr>
            <w:tcW w:w="223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9" w:hRule="atLeast"/>
          <w:jc w:val="center"/>
        </w:trPr>
        <w:tc>
          <w:tcPr>
            <w:tcW w:w="239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下基层流动服务受益人数</w:t>
            </w:r>
          </w:p>
        </w:tc>
        <w:tc>
          <w:tcPr>
            <w:tcW w:w="269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每次下基层流动服务受益人数</w:t>
            </w:r>
          </w:p>
        </w:tc>
        <w:tc>
          <w:tcPr>
            <w:tcW w:w="1831"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≥150人</w:t>
            </w:r>
          </w:p>
        </w:tc>
        <w:tc>
          <w:tcPr>
            <w:tcW w:w="223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每次下基层流动服务受益人数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8" w:hRule="atLeast"/>
          <w:jc w:val="center"/>
        </w:trPr>
        <w:tc>
          <w:tcPr>
            <w:tcW w:w="239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完成率</w:t>
            </w:r>
          </w:p>
        </w:tc>
        <w:tc>
          <w:tcPr>
            <w:tcW w:w="269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完成率</w:t>
            </w:r>
          </w:p>
        </w:tc>
        <w:tc>
          <w:tcPr>
            <w:tcW w:w="1831"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3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4" w:hRule="atLeast"/>
          <w:jc w:val="center"/>
        </w:trPr>
        <w:tc>
          <w:tcPr>
            <w:tcW w:w="239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时效指标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w:t>
            </w:r>
          </w:p>
        </w:tc>
        <w:tc>
          <w:tcPr>
            <w:tcW w:w="269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2022年12月底完成总目标的百分比</w:t>
            </w:r>
          </w:p>
        </w:tc>
        <w:tc>
          <w:tcPr>
            <w:tcW w:w="1831"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3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1" w:hRule="atLeast"/>
          <w:jc w:val="center"/>
        </w:trPr>
        <w:tc>
          <w:tcPr>
            <w:tcW w:w="239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成本指标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举办各种“七进”演出活动</w:t>
            </w:r>
          </w:p>
        </w:tc>
        <w:tc>
          <w:tcPr>
            <w:tcW w:w="269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进校园、进农村、进网站、进机关、进军营、进社区、进企业</w:t>
            </w:r>
          </w:p>
        </w:tc>
        <w:tc>
          <w:tcPr>
            <w:tcW w:w="1831"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≥33.76万元</w:t>
            </w:r>
          </w:p>
        </w:tc>
        <w:tc>
          <w:tcPr>
            <w:tcW w:w="223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jc w:val="center"/>
        </w:trPr>
        <w:tc>
          <w:tcPr>
            <w:tcW w:w="239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2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保障公民基本文化权益，丰富人民群众精神文化生活。</w:t>
            </w:r>
          </w:p>
        </w:tc>
        <w:tc>
          <w:tcPr>
            <w:tcW w:w="269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群众文化权益得到保障</w:t>
            </w:r>
          </w:p>
        </w:tc>
        <w:tc>
          <w:tcPr>
            <w:tcW w:w="1831"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≥90百分比</w:t>
            </w:r>
          </w:p>
        </w:tc>
        <w:tc>
          <w:tcPr>
            <w:tcW w:w="223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9" w:hRule="atLeast"/>
          <w:jc w:val="center"/>
        </w:trPr>
        <w:tc>
          <w:tcPr>
            <w:tcW w:w="239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公共服务水平提升情况</w:t>
            </w:r>
          </w:p>
        </w:tc>
        <w:tc>
          <w:tcPr>
            <w:tcW w:w="269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公共服务水平提升情况</w:t>
            </w:r>
          </w:p>
        </w:tc>
        <w:tc>
          <w:tcPr>
            <w:tcW w:w="1831"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≥90百分比</w:t>
            </w:r>
          </w:p>
        </w:tc>
        <w:tc>
          <w:tcPr>
            <w:tcW w:w="223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公共服务水平提升情况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jc w:val="center"/>
        </w:trPr>
        <w:tc>
          <w:tcPr>
            <w:tcW w:w="239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可持续影响指标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使我县的戏曲事业得到有效传承，丰富了广大群众的业余文化生活</w:t>
            </w:r>
          </w:p>
        </w:tc>
        <w:tc>
          <w:tcPr>
            <w:tcW w:w="269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有效的促进我县文化事业的发展。</w:t>
            </w:r>
          </w:p>
        </w:tc>
        <w:tc>
          <w:tcPr>
            <w:tcW w:w="1831"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23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8" w:hRule="atLeast"/>
          <w:jc w:val="center"/>
        </w:trPr>
        <w:tc>
          <w:tcPr>
            <w:tcW w:w="239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53"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eastAsia="仿宋_GB2312" w:cs="Times New Roman"/>
              </w:rPr>
            </w:pPr>
            <w:r>
              <w:rPr>
                <w:rFonts w:hint="eastAsia" w:ascii="Times New Roman" w:hAnsi="Times New Roman" w:eastAsia="仿宋_GB2312" w:cs="Times New Roman"/>
              </w:rPr>
              <w:t>服务对象满意度指标</w:t>
            </w:r>
          </w:p>
        </w:tc>
        <w:tc>
          <w:tcPr>
            <w:tcW w:w="2653"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rPr>
            </w:pPr>
            <w:r>
              <w:rPr>
                <w:rFonts w:hint="eastAsia" w:ascii="Times New Roman" w:hAnsi="Times New Roman" w:eastAsia="仿宋_GB2312" w:cs="Times New Roman"/>
              </w:rPr>
              <w:t>群众满意度</w:t>
            </w:r>
          </w:p>
        </w:tc>
        <w:tc>
          <w:tcPr>
            <w:tcW w:w="269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eastAsia="仿宋_GB2312" w:cs="Times New Roman"/>
              </w:rPr>
            </w:pPr>
            <w:r>
              <w:rPr>
                <w:rFonts w:hint="eastAsia" w:ascii="Times New Roman" w:hAnsi="Times New Roman" w:eastAsia="仿宋_GB2312" w:cs="Times New Roman"/>
              </w:rPr>
              <w:t>群众满意数量占总数的比例</w:t>
            </w:r>
          </w:p>
        </w:tc>
        <w:tc>
          <w:tcPr>
            <w:tcW w:w="183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≥95百分比</w:t>
            </w:r>
          </w:p>
        </w:tc>
        <w:tc>
          <w:tcPr>
            <w:tcW w:w="2235"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eastAsia="仿宋_GB2312" w:cs="Times New Roman"/>
              </w:rPr>
            </w:pPr>
            <w:r>
              <w:rPr>
                <w:rFonts w:hint="eastAsia" w:ascii="Times New Roman" w:hAnsi="Times New Roman" w:eastAsia="仿宋_GB2312" w:cs="Times New Roman"/>
              </w:rPr>
              <w:t>群众满意度</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2021年中央补助地方美术馆公共图书馆文化馆免费开放补助资金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9"/>
        <w:tblW w:w="14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2262"/>
        <w:gridCol w:w="1980"/>
        <w:gridCol w:w="3393"/>
        <w:gridCol w:w="1838"/>
        <w:gridCol w:w="2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3" w:hRule="atLeast"/>
          <w:tblHeader/>
          <w:jc w:val="center"/>
        </w:trPr>
        <w:tc>
          <w:tcPr>
            <w:tcW w:w="240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717"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sz w:val="15"/>
                <w:szCs w:val="15"/>
                <w:lang w:val="en-US" w:eastAsia="zh-CN"/>
              </w:rPr>
            </w:pPr>
            <w:r>
              <w:rPr>
                <w:rFonts w:hint="default" w:ascii="Times New Roman" w:hAnsi="Times New Roman" w:eastAsia="仿宋_GB2312" w:cs="Times New Roman"/>
                <w:kern w:val="2"/>
                <w:sz w:val="21"/>
                <w:szCs w:val="22"/>
                <w:lang w:val="en-US" w:eastAsia="zh-CN" w:bidi="ar-SA"/>
              </w:rPr>
              <w:t>1.通过项目的开展，完善了两馆和乡镇综合文化站的功能，充分发挥其职能作用，让群众切实从这一民生工程中得到了实惠，有效的促进我县文化事业的发展。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3" w:hRule="atLeast"/>
          <w:tblHeader/>
          <w:jc w:val="center"/>
        </w:trPr>
        <w:tc>
          <w:tcPr>
            <w:tcW w:w="240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6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98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39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83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24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2403"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组织各类培训班</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组织舞蹈、声乐、戏曲等各类培训</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≥20班次</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实际举办次数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240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组织文化活动、阅读活动</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组织文化活动</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≥10次</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实际举办次数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240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完成率</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项目内容的完成率</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≥90百分比</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83" w:hRule="atLeast"/>
          <w:jc w:val="center"/>
        </w:trPr>
        <w:tc>
          <w:tcPr>
            <w:tcW w:w="240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按三馆一站的最高服务标准执行。</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服务社区、乡镇、村街，服务覆盖率。</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240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时效指标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2022年12月底完成总目标的百分比</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240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成本指标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两馆一站工作正常开展成本</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开展文化活动</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2" w:hRule="atLeast"/>
          <w:jc w:val="center"/>
        </w:trPr>
        <w:tc>
          <w:tcPr>
            <w:tcW w:w="240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组织各类培训班</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组织舞蹈、声乐、戏曲等各类培训</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≥20班次</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实际举办次数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3" w:hRule="atLeast"/>
          <w:jc w:val="center"/>
        </w:trPr>
        <w:tc>
          <w:tcPr>
            <w:tcW w:w="2403"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按三馆一站的最高服务标准执行。</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服务社区、乡镇、村街，服务覆盖率。</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17" w:hRule="atLeast"/>
          <w:jc w:val="center"/>
        </w:trPr>
        <w:tc>
          <w:tcPr>
            <w:tcW w:w="240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公共服务水平提升情况</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公共服务水平提升情况</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≥90百分比</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公共文化水平提升情况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2403"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可持续影响指标</w:t>
            </w:r>
          </w:p>
        </w:tc>
        <w:tc>
          <w:tcPr>
            <w:tcW w:w="198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有效的促进我县文化事业的发展。</w:t>
            </w:r>
          </w:p>
        </w:tc>
        <w:tc>
          <w:tcPr>
            <w:tcW w:w="339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有效的促进我县文化事业的发展。</w:t>
            </w:r>
          </w:p>
        </w:tc>
        <w:tc>
          <w:tcPr>
            <w:tcW w:w="183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24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6" w:hRule="atLeast"/>
          <w:jc w:val="center"/>
        </w:trPr>
        <w:tc>
          <w:tcPr>
            <w:tcW w:w="240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0"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服务对象满意度 </w:t>
            </w:r>
          </w:p>
        </w:tc>
        <w:tc>
          <w:tcPr>
            <w:tcW w:w="3393"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服务对象满意度 </w:t>
            </w:r>
          </w:p>
        </w:tc>
        <w:tc>
          <w:tcPr>
            <w:tcW w:w="183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≥95百分比</w:t>
            </w:r>
          </w:p>
        </w:tc>
        <w:tc>
          <w:tcPr>
            <w:tcW w:w="224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eastAsia="仿宋_GB2312" w:cs="Times New Roman"/>
              </w:rPr>
            </w:pPr>
            <w:r>
              <w:rPr>
                <w:rFonts w:hint="eastAsia" w:ascii="Times New Roman" w:hAnsi="Times New Roman" w:eastAsia="仿宋_GB2312" w:cs="Times New Roman"/>
                <w:lang w:val="en-US" w:eastAsia="zh-CN"/>
              </w:rPr>
              <w:t>群众满意度</w:t>
            </w:r>
          </w:p>
        </w:tc>
      </w:tr>
    </w:tbl>
    <w:p>
      <w:pPr>
        <w:ind w:firstLine="560" w:firstLineChars="200"/>
        <w:jc w:val="left"/>
        <w:outlineLvl w:val="1"/>
        <w:rPr>
          <w:rFonts w:hint="eastAsia" w:ascii="Times New Roman" w:hAnsi="Times New Roman" w:eastAsia="仿宋_GB2312" w:cs="Times New Roman"/>
          <w:sz w:val="28"/>
        </w:rPr>
      </w:pPr>
      <w:bookmarkStart w:id="1" w:name="_Toc_4_4_0000000006"/>
      <w:r>
        <w:rPr>
          <w:rFonts w:hint="eastAsia" w:ascii="Times New Roman" w:hAnsi="Times New Roman" w:eastAsia="仿宋_GB2312" w:cs="Times New Roman"/>
          <w:sz w:val="28"/>
        </w:rPr>
        <w:t>3.2022年省级“三馆一站”免费开放补助资金绩效目标表</w:t>
      </w:r>
      <w:bookmarkEnd w:id="1"/>
    </w:p>
    <w:p>
      <w:pPr>
        <w:spacing w:line="14" w:lineRule="exact"/>
        <w:ind w:firstLine="420" w:firstLineChars="200"/>
        <w:jc w:val="center"/>
        <w:rPr>
          <w:rFonts w:ascii="Times New Roman" w:hAnsi="Times New Roman" w:eastAsia="仿宋_GB2312" w:cs="Times New Roman"/>
        </w:rPr>
      </w:pPr>
    </w:p>
    <w:tbl>
      <w:tblPr>
        <w:tblStyle w:val="9"/>
        <w:tblW w:w="135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5"/>
        <w:gridCol w:w="2169"/>
        <w:gridCol w:w="1899"/>
        <w:gridCol w:w="3254"/>
        <w:gridCol w:w="1762"/>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2" w:hRule="atLeast"/>
          <w:tblHeader/>
          <w:jc w:val="center"/>
        </w:trPr>
        <w:tc>
          <w:tcPr>
            <w:tcW w:w="230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235"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eastAsia" w:ascii="Times New Roman" w:hAnsi="Times New Roman" w:eastAsia="仿宋_GB2312" w:cs="Times New Roman"/>
              </w:rPr>
              <w:t>1.通过项目的开展，完善了两馆和乡镇综合文化站的功能，充分发挥其职能作用，让群众切实从这一民生工程中得到了实惠，有效的促进我县文化事业的发展。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2" w:hRule="atLeast"/>
          <w:tblHeader/>
          <w:jc w:val="center"/>
        </w:trPr>
        <w:tc>
          <w:tcPr>
            <w:tcW w:w="230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16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89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25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76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15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5" w:hRule="atLeast"/>
          <w:jc w:val="center"/>
        </w:trPr>
        <w:tc>
          <w:tcPr>
            <w:tcW w:w="2305"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rPr>
            </w:pPr>
            <w:r>
              <w:rPr>
                <w:rFonts w:hint="eastAsia" w:ascii="Times New Roman" w:hAnsi="Times New Roman" w:eastAsia="仿宋_GB2312" w:cs="Times New Roman"/>
              </w:rPr>
              <w:t>产出指标</w:t>
            </w:r>
          </w:p>
        </w:tc>
        <w:tc>
          <w:tcPr>
            <w:tcW w:w="2169"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Times New Roman" w:hAnsi="Times New Roman" w:eastAsia="仿宋_GB2312" w:cs="Times New Roman"/>
              </w:rPr>
            </w:pPr>
            <w:r>
              <w:rPr>
                <w:rFonts w:hint="eastAsia" w:ascii="Times New Roman" w:hAnsi="Times New Roman" w:eastAsia="仿宋_GB2312" w:cs="Times New Roman"/>
              </w:rPr>
              <w:t>数量指标</w:t>
            </w:r>
          </w:p>
        </w:tc>
        <w:tc>
          <w:tcPr>
            <w:tcW w:w="189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rPr>
            </w:pPr>
            <w:r>
              <w:rPr>
                <w:rFonts w:hint="eastAsia" w:ascii="Times New Roman" w:hAnsi="Times New Roman" w:eastAsia="仿宋_GB2312" w:cs="Times New Roman"/>
              </w:rPr>
              <w:t>文化馆：1、对文化馆舍进行维修保障良好的对外开放环境，办公设备更新保障工作的正常运行。</w:t>
            </w:r>
          </w:p>
        </w:tc>
        <w:tc>
          <w:tcPr>
            <w:tcW w:w="325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rPr>
            </w:pPr>
            <w:r>
              <w:rPr>
                <w:rFonts w:hint="eastAsia" w:ascii="Times New Roman" w:hAnsi="Times New Roman" w:eastAsia="仿宋_GB2312" w:cs="Times New Roman"/>
              </w:rPr>
              <w:t>达到三级文化馆的评估标准。</w:t>
            </w:r>
          </w:p>
        </w:tc>
        <w:tc>
          <w:tcPr>
            <w:tcW w:w="176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rPr>
              <w:t>100百分比</w:t>
            </w:r>
          </w:p>
        </w:tc>
        <w:tc>
          <w:tcPr>
            <w:tcW w:w="215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8"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2、组织大型文化活动6次、大型展览5次、各类理论研讨班4次、对外交流活动2次、组织群众业余文艺创作和文艺作品推广活动3次、 组织本馆群众文化团队4个开展活动。</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组织各类文化活动不少于22次。</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≥22次</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6"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3、馆办文艺团队每年下基层演出。</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组织戏曲、西河大鼓、综艺性送文化下乡演出。</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≥70场</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6"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4、举办各类培训、辅导30期。</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组织舞蹈、声乐等各类培训。</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≥30期</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6"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图书馆：1、举办各类讲座、培训、展览、活动次数</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举办各类讲座、培训、展览、活动的总次数</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≥50次</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6"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2、更新图书、报刊的种数</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更新图书、报刊的种数</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≥2000种</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6"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文化站：1、站舍墙壁粉刷，房屋的修补及办公设备。</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参考创建标准对各乡镇文化站进行整修，达标率100%。</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6"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2、文化器材的采购保障更新保证综合文化站工作的正常运转。</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参考创建标准对各乡镇文化站的文化器材进行采购更新。</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≥200件（套）</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6"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3、图书阅览室图书更新。</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更新率达到10%。</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≥10百分比</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80"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4、每个乡镇综合文化站举办文化活动。</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每个乡镇综合文化站每年举办3场以上大型文化活动。</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≥3场</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8" w:hRule="atLeast"/>
          <w:jc w:val="center"/>
        </w:trPr>
        <w:tc>
          <w:tcPr>
            <w:tcW w:w="2305" w:type="dxa"/>
            <w:vMerge w:val="restart"/>
            <w:shd w:val="clear" w:color="auto" w:fill="auto"/>
            <w:vAlign w:val="center"/>
          </w:tcPr>
          <w:p>
            <w:pPr>
              <w:pStyle w:val="17"/>
              <w:keepNext w:val="0"/>
              <w:keepLines w:val="0"/>
              <w:suppressLineNumbers w:val="0"/>
              <w:spacing w:beforeAutospacing="0" w:afterAutospacing="0"/>
              <w:ind w:left="0" w:right="0" w:firstLine="0" w:firstLineChars="0"/>
              <w:rPr>
                <w:rFonts w:hint="default"/>
              </w:rPr>
            </w:pPr>
            <w:r>
              <w:rPr>
                <w:rFonts w:hint="default"/>
              </w:rPr>
              <w:t>数量指标</w:t>
            </w: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5、公共电子阅览室服务及设备运行维护。</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保证每个乡镇综合文化站电子阅览室拥有10台以上电脑，达标率100%</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8"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6、每个乡镇综合文化站举办各类业务培训10次</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举办业务培训</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≥10次</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8"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按文化馆、图书馆和乡镇综合文化站的最高服务标准执行。</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服务社区、乡镇、村街，服务覆盖率。</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8"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时效指标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2022年12月底完成总目标的百分比</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8"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成本指标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两馆一站工作正常开展成本</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设备更新、开展文化活动</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105万元</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jc w:val="center"/>
        </w:trPr>
        <w:tc>
          <w:tcPr>
            <w:tcW w:w="2305"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按文化馆、图书馆和乡镇综合文化站的最高服务标准执行。</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服务社区、乡镇、村街，服务覆盖率。</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经济效益指标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2022年12月底完成总目标的百分比</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5" w:hRule="atLeast"/>
          <w:jc w:val="center"/>
        </w:trPr>
        <w:tc>
          <w:tcPr>
            <w:tcW w:w="2305"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16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可持续影响指标</w:t>
            </w:r>
          </w:p>
        </w:tc>
        <w:tc>
          <w:tcPr>
            <w:tcW w:w="1899"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依托两馆和乡镇综合文化站为平台组织开展各种类文化活动，有效的促进我县文化事业的发展。</w:t>
            </w:r>
          </w:p>
        </w:tc>
        <w:tc>
          <w:tcPr>
            <w:tcW w:w="325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有效的促进我县文化事业的发展。</w:t>
            </w:r>
          </w:p>
        </w:tc>
        <w:tc>
          <w:tcPr>
            <w:tcW w:w="1762"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15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4" w:hRule="atLeast"/>
          <w:jc w:val="center"/>
        </w:trPr>
        <w:tc>
          <w:tcPr>
            <w:tcW w:w="230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16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服务对象满意度指标</w:t>
            </w:r>
          </w:p>
        </w:tc>
        <w:tc>
          <w:tcPr>
            <w:tcW w:w="189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服务对象满意度</w:t>
            </w:r>
          </w:p>
        </w:tc>
        <w:tc>
          <w:tcPr>
            <w:tcW w:w="325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服务对象满意度</w:t>
            </w:r>
          </w:p>
        </w:tc>
        <w:tc>
          <w:tcPr>
            <w:tcW w:w="176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15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群众满意度</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bookmarkStart w:id="2" w:name="_Toc_4_4_0000000007"/>
      <w:r>
        <w:rPr>
          <w:rFonts w:hint="eastAsia" w:ascii="Times New Roman" w:hAnsi="Times New Roman" w:eastAsia="仿宋_GB2312" w:cs="Times New Roman"/>
          <w:sz w:val="28"/>
        </w:rPr>
        <w:t>4.2022年省级非物质遗产保护专项资金绩效目标表</w:t>
      </w:r>
      <w:bookmarkEnd w:id="2"/>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9"/>
        <w:tblW w:w="13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8"/>
        <w:gridCol w:w="2201"/>
        <w:gridCol w:w="1927"/>
        <w:gridCol w:w="3302"/>
        <w:gridCol w:w="1788"/>
        <w:gridCol w:w="2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2" w:hRule="atLeast"/>
          <w:tblHeader/>
          <w:jc w:val="center"/>
        </w:trPr>
        <w:tc>
          <w:tcPr>
            <w:tcW w:w="233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402"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eastAsia" w:ascii="Times New Roman" w:hAnsi="Times New Roman" w:eastAsia="仿宋_GB2312" w:cs="Times New Roman"/>
                <w:kern w:val="2"/>
                <w:sz w:val="21"/>
                <w:szCs w:val="22"/>
                <w:lang w:val="en-US" w:eastAsia="zh-CN" w:bidi="ar-SA"/>
              </w:rPr>
              <w:t>1.进一步弘扬优秀传统文化，促进全县的非物质文化遗产项目得到进一步传承保护和培育涵养。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2" w:hRule="atLeast"/>
          <w:tblHeader/>
          <w:jc w:val="center"/>
        </w:trPr>
        <w:tc>
          <w:tcPr>
            <w:tcW w:w="233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9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30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78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18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9" w:hRule="atLeast"/>
          <w:jc w:val="center"/>
        </w:trPr>
        <w:tc>
          <w:tcPr>
            <w:tcW w:w="2338"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开展外宣活动数量</w:t>
            </w:r>
          </w:p>
        </w:tc>
        <w:tc>
          <w:tcPr>
            <w:tcW w:w="330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反映开展外宣活动情况</w:t>
            </w: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5次</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4"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开展宣传方式的品种或数量（次或种）</w:t>
            </w:r>
          </w:p>
        </w:tc>
        <w:tc>
          <w:tcPr>
            <w:tcW w:w="330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反映开展对外宣传形式的多样性</w:t>
            </w: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3种</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24"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完成率</w:t>
            </w:r>
          </w:p>
        </w:tc>
        <w:tc>
          <w:tcPr>
            <w:tcW w:w="330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项目内容完成率</w:t>
            </w: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4"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时效指标</w:t>
            </w:r>
          </w:p>
        </w:tc>
        <w:tc>
          <w:tcPr>
            <w:tcW w:w="1927"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w:t>
            </w:r>
          </w:p>
        </w:tc>
        <w:tc>
          <w:tcPr>
            <w:tcW w:w="330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2022年12月底完成总目标的百分比</w:t>
            </w: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9"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成本指标</w:t>
            </w:r>
          </w:p>
        </w:tc>
        <w:tc>
          <w:tcPr>
            <w:tcW w:w="1927"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项目资金额</w:t>
            </w:r>
          </w:p>
        </w:tc>
        <w:tc>
          <w:tcPr>
            <w:tcW w:w="330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1.8万元</w:t>
            </w: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9"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开展外宣活动数量</w:t>
            </w:r>
          </w:p>
        </w:tc>
        <w:tc>
          <w:tcPr>
            <w:tcW w:w="330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反映开展外宣活动情况</w:t>
            </w: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5次</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4" w:hRule="atLeast"/>
          <w:jc w:val="center"/>
        </w:trPr>
        <w:tc>
          <w:tcPr>
            <w:tcW w:w="2338"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1927"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提高社会公众对非遗项目知晓率和重视程度。</w:t>
            </w:r>
          </w:p>
        </w:tc>
        <w:tc>
          <w:tcPr>
            <w:tcW w:w="330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进一步弘扬优秀传统文化，促进全县的文化生态得到进一步传承保护和培育涵养。</w:t>
            </w: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≥98百分比</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78"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非物质文化遗产保护项目受益对象满意度</w:t>
            </w:r>
          </w:p>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反映民间特色手工艺及生产性非物质文化遗产保护项目受益对象对资金扶持的认可情况</w:t>
            </w:r>
          </w:p>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≥90百分比</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受益对象满意度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4"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生态效益指标</w:t>
            </w:r>
          </w:p>
        </w:tc>
        <w:tc>
          <w:tcPr>
            <w:tcW w:w="1927"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构建优秀传统文化传承体系、培育涵养文化生态。</w:t>
            </w:r>
          </w:p>
        </w:tc>
        <w:tc>
          <w:tcPr>
            <w:tcW w:w="330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进一步弘扬优秀传统文化，促进全县的文化生态得到进一步传承保护和培育涵养。</w:t>
            </w: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98百分比</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4"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可持续影响指标</w:t>
            </w:r>
          </w:p>
        </w:tc>
        <w:tc>
          <w:tcPr>
            <w:tcW w:w="1927"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扩大传承人群</w:t>
            </w:r>
          </w:p>
        </w:tc>
        <w:tc>
          <w:tcPr>
            <w:tcW w:w="3302"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进一步扩大非遗项目会再社会中的影响力和知名度</w:t>
            </w:r>
          </w:p>
        </w:tc>
        <w:tc>
          <w:tcPr>
            <w:tcW w:w="1788"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184"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5" w:hRule="atLeast"/>
          <w:jc w:val="center"/>
        </w:trPr>
        <w:tc>
          <w:tcPr>
            <w:tcW w:w="233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服务对象满意度指标</w:t>
            </w:r>
          </w:p>
        </w:tc>
        <w:tc>
          <w:tcPr>
            <w:tcW w:w="192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服务对象满意度</w:t>
            </w:r>
          </w:p>
        </w:tc>
        <w:tc>
          <w:tcPr>
            <w:tcW w:w="3302"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服务对象满意度</w:t>
            </w:r>
          </w:p>
        </w:tc>
        <w:tc>
          <w:tcPr>
            <w:tcW w:w="178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≥90百分比</w:t>
            </w:r>
          </w:p>
        </w:tc>
        <w:tc>
          <w:tcPr>
            <w:tcW w:w="218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群众满意度</w:t>
            </w:r>
          </w:p>
        </w:tc>
      </w:tr>
    </w:tbl>
    <w:p>
      <w:pPr>
        <w:ind w:firstLine="560" w:firstLineChars="200"/>
        <w:jc w:val="left"/>
        <w:outlineLvl w:val="1"/>
        <w:rPr>
          <w:rFonts w:ascii="Times New Roman" w:hAnsi="Times New Roman" w:eastAsia="仿宋_GB2312" w:cs="Times New Roman"/>
          <w:sz w:val="28"/>
        </w:rPr>
      </w:pPr>
      <w:bookmarkStart w:id="3" w:name="_Toc_4_4_0000000008"/>
      <w:r>
        <w:rPr>
          <w:rFonts w:hint="eastAsia" w:ascii="Times New Roman" w:hAnsi="Times New Roman" w:eastAsia="仿宋_GB2312" w:cs="Times New Roman"/>
          <w:sz w:val="28"/>
        </w:rPr>
        <w:t>5.2022年中央补助地方公共文化服务体系建设专项资金绩效目标表</w:t>
      </w:r>
      <w:bookmarkEnd w:id="3"/>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9"/>
        <w:tblW w:w="13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8"/>
        <w:gridCol w:w="2201"/>
        <w:gridCol w:w="1927"/>
        <w:gridCol w:w="3302"/>
        <w:gridCol w:w="1788"/>
        <w:gridCol w:w="2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2" w:hRule="atLeast"/>
          <w:tblHeader/>
          <w:jc w:val="center"/>
        </w:trPr>
        <w:tc>
          <w:tcPr>
            <w:tcW w:w="233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402"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eastAsia" w:ascii="Times New Roman" w:hAnsi="Times New Roman" w:eastAsia="仿宋_GB2312" w:cs="Times New Roman"/>
                <w:kern w:val="2"/>
                <w:sz w:val="21"/>
                <w:szCs w:val="22"/>
                <w:lang w:val="en-US" w:eastAsia="zh-CN" w:bidi="ar-SA"/>
              </w:rPr>
              <w:t>1.提高公共文化服务效能，有效的促进我县公共文化事业的发展。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2" w:hRule="atLeast"/>
          <w:tblHeader/>
          <w:jc w:val="center"/>
        </w:trPr>
        <w:tc>
          <w:tcPr>
            <w:tcW w:w="233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9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30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78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18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9" w:hRule="atLeast"/>
          <w:jc w:val="center"/>
        </w:trPr>
        <w:tc>
          <w:tcPr>
            <w:tcW w:w="2338"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组织招标采购送文化下乡演出、西河大鼓书场、节日性文化活动</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组织文化演出活动</w:t>
            </w:r>
          </w:p>
        </w:tc>
        <w:tc>
          <w:tcPr>
            <w:tcW w:w="1788" w:type="dxa"/>
            <w:shd w:val="clear" w:color="auto" w:fill="auto"/>
            <w:vAlign w:val="center"/>
          </w:tcPr>
          <w:p>
            <w:pPr>
              <w:pStyle w:val="17"/>
              <w:keepNext w:val="0"/>
              <w:keepLines w:val="0"/>
              <w:suppressLineNumbers w:val="0"/>
              <w:spacing w:beforeAutospacing="0" w:afterAutospacing="0"/>
              <w:ind w:left="0" w:right="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≥60场</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9"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修建文化广场</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不小于600平米</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≥2个</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9"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大鼓、镲、铙</w:t>
            </w:r>
          </w:p>
        </w:tc>
        <w:tc>
          <w:tcPr>
            <w:tcW w:w="1788" w:type="dxa"/>
            <w:shd w:val="clear" w:color="auto" w:fill="auto"/>
            <w:vAlign w:val="center"/>
          </w:tcPr>
          <w:p>
            <w:pPr>
              <w:pStyle w:val="17"/>
              <w:keepNext w:val="0"/>
              <w:keepLines w:val="0"/>
              <w:suppressLineNumbers w:val="0"/>
              <w:spacing w:beforeAutospacing="0" w:afterAutospacing="0"/>
              <w:ind w:left="0" w:right="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≥20套</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9"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音响</w:t>
            </w:r>
          </w:p>
        </w:tc>
        <w:tc>
          <w:tcPr>
            <w:tcW w:w="1788" w:type="dxa"/>
            <w:shd w:val="clear" w:color="auto" w:fill="auto"/>
            <w:vAlign w:val="center"/>
          </w:tcPr>
          <w:p>
            <w:pPr>
              <w:pStyle w:val="17"/>
              <w:keepNext w:val="0"/>
              <w:keepLines w:val="0"/>
              <w:suppressLineNumbers w:val="0"/>
              <w:spacing w:beforeAutospacing="0" w:afterAutospacing="0"/>
              <w:ind w:left="0" w:right="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≥50台</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非遗购物车</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≥20辆</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延续性文化活动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“大清河采风、创作”活动</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书画、摄影、文学创作类</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≥20人</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大运河文化保护传承利用规划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书画摄影展</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每次展览不少于150幅作品</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≥2次</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活动要求和场地面积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文化活动服务受益人数</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每次演出服务受益人数</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≥150人</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每次演出服务受益人数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修建文化广场</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文化广场面积</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≥500平米</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大鼓、镲、铙每套</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≥7件</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文化团体需求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组织招标采购送文化下乡演出、西河大鼓书场、节日性文化活动</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组织文化演出活动</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≥60场</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修建文化广场</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不小于600平米</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≥2个</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大鼓、镲、铙</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≥20套</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音响</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≥50台</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非遗购物车</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≥20辆</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延续性文化活动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“大清河采风、创作”活动</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书画、摄影、文学创作类</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≥20人</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大运河文化保护传承利用规划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书画摄影展</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每次展览不少于150幅作品</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≥2次</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活动要求和场地面积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文化活动服务受益人数</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每次演出服务受益人数</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≥150人</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每次演出服务受益人数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修建文化广场</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文化广场面积</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≥500平米</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大鼓、镲、铙每套</w:t>
            </w:r>
          </w:p>
        </w:tc>
        <w:tc>
          <w:tcPr>
            <w:tcW w:w="1788"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≥7件</w:t>
            </w:r>
          </w:p>
        </w:tc>
        <w:tc>
          <w:tcPr>
            <w:tcW w:w="2184" w:type="dxa"/>
            <w:shd w:val="clear" w:color="auto" w:fill="auto"/>
            <w:vAlign w:val="center"/>
          </w:tcPr>
          <w:p>
            <w:pPr>
              <w:pStyle w:val="17"/>
              <w:keepNext w:val="0"/>
              <w:keepLines w:val="0"/>
              <w:suppressLineNumbers w:val="0"/>
              <w:spacing w:beforeAutospacing="0" w:afterAutospacing="0"/>
              <w:ind w:left="0" w:right="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文化团体需求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音响保修期</w:t>
            </w:r>
          </w:p>
        </w:tc>
        <w:tc>
          <w:tcPr>
            <w:tcW w:w="178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1年</w:t>
            </w:r>
          </w:p>
        </w:tc>
        <w:tc>
          <w:tcPr>
            <w:tcW w:w="2184"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文化团体需求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器材购置</w:t>
            </w:r>
          </w:p>
        </w:tc>
        <w:tc>
          <w:tcPr>
            <w:tcW w:w="3302"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非遗购物宽度</w:t>
            </w:r>
          </w:p>
        </w:tc>
        <w:tc>
          <w:tcPr>
            <w:tcW w:w="178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≥2米</w:t>
            </w:r>
          </w:p>
        </w:tc>
        <w:tc>
          <w:tcPr>
            <w:tcW w:w="2184"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非遗购物节需求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0"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举办展览参观人数</w:t>
            </w:r>
          </w:p>
        </w:tc>
        <w:tc>
          <w:tcPr>
            <w:tcW w:w="3302"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每次展览参观人数</w:t>
            </w:r>
          </w:p>
        </w:tc>
        <w:tc>
          <w:tcPr>
            <w:tcW w:w="178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≥500人</w:t>
            </w:r>
          </w:p>
        </w:tc>
        <w:tc>
          <w:tcPr>
            <w:tcW w:w="2184"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每次展览参观人数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4"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01"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2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“大清河采风、创作”活动</w:t>
            </w:r>
          </w:p>
        </w:tc>
        <w:tc>
          <w:tcPr>
            <w:tcW w:w="3302"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创作作品</w:t>
            </w:r>
          </w:p>
        </w:tc>
        <w:tc>
          <w:tcPr>
            <w:tcW w:w="178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≥20件</w:t>
            </w:r>
          </w:p>
        </w:tc>
        <w:tc>
          <w:tcPr>
            <w:tcW w:w="2184"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实际创作件数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9"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时效指标</w:t>
            </w:r>
          </w:p>
        </w:tc>
        <w:tc>
          <w:tcPr>
            <w:tcW w:w="192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w:t>
            </w:r>
          </w:p>
        </w:tc>
        <w:tc>
          <w:tcPr>
            <w:tcW w:w="3302"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2022年12月底完成总目标的百分比</w:t>
            </w:r>
          </w:p>
        </w:tc>
        <w:tc>
          <w:tcPr>
            <w:tcW w:w="178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184"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4"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01"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成本指标</w:t>
            </w:r>
          </w:p>
        </w:tc>
        <w:tc>
          <w:tcPr>
            <w:tcW w:w="192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组织招标采购送文化下乡演出、西河大鼓书场、节日性文化活动</w:t>
            </w:r>
          </w:p>
        </w:tc>
        <w:tc>
          <w:tcPr>
            <w:tcW w:w="3302"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进校园、进农村、进网站、进机关、进军营、进社区、进企业</w:t>
            </w:r>
          </w:p>
        </w:tc>
        <w:tc>
          <w:tcPr>
            <w:tcW w:w="178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≤147.62万元</w:t>
            </w:r>
          </w:p>
        </w:tc>
        <w:tc>
          <w:tcPr>
            <w:tcW w:w="2184"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往年支出成本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5" w:hRule="atLeast"/>
          <w:jc w:val="center"/>
        </w:trPr>
        <w:tc>
          <w:tcPr>
            <w:tcW w:w="2338"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01"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成本指标</w:t>
            </w:r>
          </w:p>
        </w:tc>
        <w:tc>
          <w:tcPr>
            <w:tcW w:w="192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修建文化广场</w:t>
            </w:r>
          </w:p>
        </w:tc>
        <w:tc>
          <w:tcPr>
            <w:tcW w:w="3302"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面积不小于600平米，厚度不低于15厘米</w:t>
            </w:r>
          </w:p>
        </w:tc>
        <w:tc>
          <w:tcPr>
            <w:tcW w:w="1788"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≤27万元</w:t>
            </w:r>
          </w:p>
        </w:tc>
        <w:tc>
          <w:tcPr>
            <w:tcW w:w="2184"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往年支出成本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5" w:hRule="atLeast"/>
          <w:jc w:val="center"/>
        </w:trPr>
        <w:tc>
          <w:tcPr>
            <w:tcW w:w="2338"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01"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成本指标</w:t>
            </w:r>
          </w:p>
        </w:tc>
        <w:tc>
          <w:tcPr>
            <w:tcW w:w="1927"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器材购置</w:t>
            </w:r>
          </w:p>
        </w:tc>
        <w:tc>
          <w:tcPr>
            <w:tcW w:w="3302"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满足文化团体和举办活动的需求。</w:t>
            </w:r>
          </w:p>
        </w:tc>
        <w:tc>
          <w:tcPr>
            <w:tcW w:w="1788"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≤25.78万元</w:t>
            </w:r>
          </w:p>
        </w:tc>
        <w:tc>
          <w:tcPr>
            <w:tcW w:w="2184"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往年支出成本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5" w:hRule="atLeast"/>
          <w:jc w:val="center"/>
        </w:trPr>
        <w:tc>
          <w:tcPr>
            <w:tcW w:w="2338"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01"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成本指标</w:t>
            </w:r>
          </w:p>
        </w:tc>
        <w:tc>
          <w:tcPr>
            <w:tcW w:w="1927"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“大清河采风、创作”活动</w:t>
            </w:r>
          </w:p>
        </w:tc>
        <w:tc>
          <w:tcPr>
            <w:tcW w:w="3302"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创作者进行实地采风、作品进行展览活举办演出活动。</w:t>
            </w:r>
          </w:p>
        </w:tc>
        <w:tc>
          <w:tcPr>
            <w:tcW w:w="1788"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≤8万元</w:t>
            </w:r>
          </w:p>
        </w:tc>
        <w:tc>
          <w:tcPr>
            <w:tcW w:w="2184"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5" w:hRule="atLeast"/>
          <w:jc w:val="center"/>
        </w:trPr>
        <w:tc>
          <w:tcPr>
            <w:tcW w:w="2338"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01"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成本指标</w:t>
            </w:r>
          </w:p>
        </w:tc>
        <w:tc>
          <w:tcPr>
            <w:tcW w:w="1927"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书画摄影展</w:t>
            </w:r>
          </w:p>
        </w:tc>
        <w:tc>
          <w:tcPr>
            <w:tcW w:w="3302"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每次展览不少于150幅作品</w:t>
            </w:r>
          </w:p>
        </w:tc>
        <w:tc>
          <w:tcPr>
            <w:tcW w:w="1788"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≤6万元</w:t>
            </w:r>
          </w:p>
        </w:tc>
        <w:tc>
          <w:tcPr>
            <w:tcW w:w="2184"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往年支出成本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5" w:hRule="atLeast"/>
          <w:jc w:val="center"/>
        </w:trPr>
        <w:tc>
          <w:tcPr>
            <w:tcW w:w="2338"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kern w:val="2"/>
                <w:sz w:val="21"/>
                <w:szCs w:val="22"/>
                <w:lang w:val="en-US" w:eastAsia="zh-CN" w:bidi="ar-SA"/>
              </w:rPr>
              <w:t>效益指标</w:t>
            </w:r>
          </w:p>
        </w:tc>
        <w:tc>
          <w:tcPr>
            <w:tcW w:w="2201"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社会效益指标</w:t>
            </w:r>
          </w:p>
        </w:tc>
        <w:tc>
          <w:tcPr>
            <w:tcW w:w="1927"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广大人民群众以两馆和乡镇综合文化站为平台开展了丰富多彩的文化活动，群众切实从这一民生工程中得到了实惠，丰富广大人民群众精神文化生活。</w:t>
            </w:r>
          </w:p>
        </w:tc>
        <w:tc>
          <w:tcPr>
            <w:tcW w:w="3302"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丰富广大人民群众精神文化生活。</w:t>
            </w:r>
          </w:p>
        </w:tc>
        <w:tc>
          <w:tcPr>
            <w:tcW w:w="1788"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≥90百分比</w:t>
            </w:r>
          </w:p>
        </w:tc>
        <w:tc>
          <w:tcPr>
            <w:tcW w:w="2184"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5" w:hRule="atLeast"/>
          <w:jc w:val="center"/>
        </w:trPr>
        <w:tc>
          <w:tcPr>
            <w:tcW w:w="2338"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kern w:val="2"/>
                <w:sz w:val="21"/>
                <w:szCs w:val="22"/>
                <w:lang w:val="en-US" w:eastAsia="zh-CN" w:bidi="ar-SA"/>
              </w:rPr>
            </w:pPr>
          </w:p>
        </w:tc>
        <w:tc>
          <w:tcPr>
            <w:tcW w:w="2201"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社会效益指标</w:t>
            </w:r>
          </w:p>
        </w:tc>
        <w:tc>
          <w:tcPr>
            <w:tcW w:w="1927"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保障公民基本文化权益，丰富人民群众精神文化生活。</w:t>
            </w:r>
          </w:p>
        </w:tc>
        <w:tc>
          <w:tcPr>
            <w:tcW w:w="3302"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群众文化权益得到保障</w:t>
            </w:r>
          </w:p>
        </w:tc>
        <w:tc>
          <w:tcPr>
            <w:tcW w:w="1788"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≥90百分比</w:t>
            </w:r>
          </w:p>
        </w:tc>
        <w:tc>
          <w:tcPr>
            <w:tcW w:w="2184"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5" w:hRule="atLeast"/>
          <w:jc w:val="center"/>
        </w:trPr>
        <w:tc>
          <w:tcPr>
            <w:tcW w:w="2338"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kern w:val="2"/>
                <w:sz w:val="21"/>
                <w:szCs w:val="22"/>
                <w:lang w:val="en-US" w:eastAsia="zh-CN" w:bidi="ar-SA"/>
              </w:rPr>
            </w:pPr>
          </w:p>
        </w:tc>
        <w:tc>
          <w:tcPr>
            <w:tcW w:w="2201"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可持续影响指标</w:t>
            </w:r>
          </w:p>
        </w:tc>
        <w:tc>
          <w:tcPr>
            <w:tcW w:w="1927"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依托两馆和乡镇综合文化站和村综合文化服务中心为平台组织开展各种类文化活动，有效的促进我县文化事业的发展。</w:t>
            </w:r>
          </w:p>
        </w:tc>
        <w:tc>
          <w:tcPr>
            <w:tcW w:w="3302"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有效的促进我县文化事业的发展。</w:t>
            </w:r>
          </w:p>
        </w:tc>
        <w:tc>
          <w:tcPr>
            <w:tcW w:w="1788"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184"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5" w:hRule="atLeast"/>
          <w:jc w:val="center"/>
        </w:trPr>
        <w:tc>
          <w:tcPr>
            <w:tcW w:w="2338"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满意度指标</w:t>
            </w:r>
          </w:p>
        </w:tc>
        <w:tc>
          <w:tcPr>
            <w:tcW w:w="2201"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服务对象满意度指标</w:t>
            </w:r>
          </w:p>
        </w:tc>
        <w:tc>
          <w:tcPr>
            <w:tcW w:w="1927"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受到我县广大人民群众的一致好评。</w:t>
            </w:r>
          </w:p>
        </w:tc>
        <w:tc>
          <w:tcPr>
            <w:tcW w:w="3302"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群众满意度</w:t>
            </w:r>
          </w:p>
        </w:tc>
        <w:tc>
          <w:tcPr>
            <w:tcW w:w="1788"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184" w:type="dxa"/>
            <w:vAlign w:val="center"/>
          </w:tcPr>
          <w:p>
            <w:pPr>
              <w:pStyle w:val="8"/>
              <w:keepNext w:val="0"/>
              <w:keepLines w:val="0"/>
              <w:widowControl/>
              <w:suppressLineNumbers w:val="0"/>
              <w:spacing w:before="0" w:beforeAutospacing="0" w:after="0" w:afterAutospacing="0"/>
              <w:ind w:left="0" w:leftChars="0" w:right="0" w:rightChars="0" w:firstLine="0" w:firstLineChars="0"/>
              <w:jc w:val="left"/>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对象的满意度</w:t>
            </w:r>
          </w:p>
        </w:tc>
      </w:tr>
    </w:tbl>
    <w:p>
      <w:pPr>
        <w:ind w:firstLine="560" w:firstLineChars="200"/>
        <w:jc w:val="left"/>
        <w:outlineLvl w:val="1"/>
        <w:rPr>
          <w:rFonts w:hint="eastAsia" w:ascii="Times New Roman" w:hAnsi="Times New Roman" w:eastAsia="仿宋_GB2312" w:cs="Times New Roman"/>
          <w:sz w:val="28"/>
        </w:rPr>
      </w:pPr>
      <w:bookmarkStart w:id="4" w:name="_Toc_4_4_0000000009"/>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r>
        <w:rPr>
          <w:rFonts w:hint="eastAsia" w:ascii="Times New Roman" w:hAnsi="Times New Roman" w:eastAsia="仿宋_GB2312" w:cs="Times New Roman"/>
          <w:sz w:val="28"/>
        </w:rPr>
        <w:t>6.2022年中央补助地方美术馆 公共图书馆 文化馆（站）免费开放补助资金绩效目标表</w:t>
      </w:r>
      <w:bookmarkEnd w:id="4"/>
    </w:p>
    <w:tbl>
      <w:tblPr>
        <w:tblStyle w:val="9"/>
        <w:tblW w:w="139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2233"/>
        <w:gridCol w:w="1955"/>
        <w:gridCol w:w="3350"/>
        <w:gridCol w:w="1814"/>
        <w:gridCol w:w="2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568"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default" w:ascii="Times New Roman" w:hAnsi="Times New Roman" w:eastAsia="仿宋_GB2312" w:cs="Times New Roman"/>
                <w:kern w:val="2"/>
                <w:sz w:val="21"/>
                <w:szCs w:val="22"/>
                <w:lang w:val="en-US" w:eastAsia="zh-CN" w:bidi="ar-SA"/>
              </w:rPr>
              <w:t>通过项目的开展，完善了两馆和乡镇综合文化站的功能，充分发挥其职能作用，让群众切实从这一民生工程中得到了实惠，有效的促进我县文化事业的发展。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3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95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35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81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21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文化馆：1、对文化馆舍进行维修保障良好的对外开放环境，办公设备更新保障工作的正常运行。</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达到三级文化馆的评估标准。</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2、组织大型文化活动6次、大型展览5次、各类理论研讨班4次、对外交流活动2次、组织群众业余文艺创作和文艺作品推广活动3次、 组织本馆群众文化团队4个开展活动。</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组织各类文化活动不少于22次。</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≥22次</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3、馆办文艺团队每年下基层演出。</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组织戏曲、西河大鼓、综艺性送文化下乡演出。</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≥70场</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4、举办各类培训、辅导30期。</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组织舞蹈、声乐等各类培训。</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≥30期</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图书馆：1、举办各类讲座、培训、展览、活动次数</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举办各类讲座、培训、展览、活动的总次数</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≥50次</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2、更新图书、报刊的种数</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更新图书、报刊的种数</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≥2000种</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文化站：1、站舍墙壁粉刷，房屋的修补及办公设备。</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参考创建标准对各乡镇文化站进行整修，达标率100%。</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2、文化器材的采购保障更新保证综合文化站工作的正常运转。</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参考创建标准对各乡镇文化站的文化器材进行采购更新。</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≥200件（套）</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3、图书阅览室图书更新。</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更新率达到10%。</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4、每个乡镇综合文化站举办文化活动。</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每个乡镇综合文化站每年举办3场以上大型文化活动。</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≥3场</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5、公共电子阅览室服务及设备运行维护。</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保证每个乡镇综合文化站电子阅览室拥有10台以上电脑，达标率100%</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6、每个乡镇综合文化站举办各类业务培训10次</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举办业务培训</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≥10次</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按文化馆、图书馆和乡镇综合文化站的最高服务标准执行。</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服务社区、乡镇、村街，服务覆盖率。</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时效指标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2022年12月底完成总目标的百分比</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时效指标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两馆一站工作正常开展成本</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设备更新、开展文化活动</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105万元</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社会效益指标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按文化馆、图书馆和乡镇综合文化站的最高服务标准执行。</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服务社区、乡镇、村街，服务覆盖率。</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经济效益指标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2022年12月底完成总目标的百分比</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可持续影响指标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依托两馆和乡镇综合文化站为平台组织开展各种类文化活动，有效的促进我县文化事业的发展。</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有效的促进我县文化事业的发展。</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服务对象满意度指标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受到我县广大人民群众的一致好评。</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群众满意度</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对象的满意度</w:t>
            </w:r>
          </w:p>
        </w:tc>
      </w:tr>
    </w:tbl>
    <w:p>
      <w:pPr>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bookmarkStart w:id="5" w:name="_Toc_4_4_0000000010"/>
      <w:r>
        <w:rPr>
          <w:rFonts w:hint="eastAsia" w:ascii="Times New Roman" w:hAnsi="Times New Roman" w:eastAsia="仿宋_GB2312" w:cs="Times New Roman"/>
          <w:sz w:val="28"/>
        </w:rPr>
        <w:t>7.2022年中央非物质文化遗产保护资金绩效目标表</w:t>
      </w:r>
      <w:bookmarkEnd w:id="5"/>
    </w:p>
    <w:tbl>
      <w:tblPr>
        <w:tblStyle w:val="9"/>
        <w:tblW w:w="139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2233"/>
        <w:gridCol w:w="1955"/>
        <w:gridCol w:w="3350"/>
        <w:gridCol w:w="1814"/>
        <w:gridCol w:w="2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568"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eastAsia" w:ascii="Times New Roman" w:hAnsi="Times New Roman" w:eastAsia="仿宋_GB2312" w:cs="Times New Roman"/>
                <w:lang w:val="en-US" w:eastAsia="zh-CN"/>
              </w:rPr>
              <w:t>进一步弘扬优秀传统文化，促进全县的非物质文化遗产项目得到进一步传承保护和培育涵养</w:t>
            </w:r>
            <w:r>
              <w:rPr>
                <w:rFonts w:hint="eastAsia" w:ascii="Times New Roman" w:hAnsi="Times New Roman" w:eastAsia="仿宋_GB2312" w:cs="Times New Roman"/>
                <w:sz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3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95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35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81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21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购买传承展示道具数量</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购买传承展示道具</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≥300套</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根据《国务院办公厅关于加强我国非物质文化遗产保护工作的意见》(国办发[2005]18号)和国家有关财务法律制度规定，财政部、文化部制定了《国家非物质文化遗产保护专项资金管理暂行办法》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组织各类展示展演活动</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完成组织展示展演活动不少于70场</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≥70场</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根据《国务院办公厅关于加强我国非物质文化遗产保护工作的意见》(国办发[2005]18号)和国家有关财务法律制度规定，财政部、文化部制定了《国家非物质文化遗产保护专项资金管理暂行办法》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修缮传习所</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传习所修缮</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根据《国务院办公厅关于加强我国非物质文化遗产保护工作的意见》(国办发[2005]18号)和国家有关财务法律制度规定，财政部、文化部制定了《国家非物质文化遗产保护专项资金管理暂行办法》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购买传承道具，组织各类展示展演活动，修缮传习所</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完成传承道具的购买、修缮传习所和完成各类传承、展演活动</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时效指标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2022年12月底完成总目标的百分比</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成本指标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购买传承道具，组织各类传承、展演活动，修缮传习所</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154万元</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社会效益指标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积极开展各类传承活动，培养传承人，开展展示推广活动，扩大“八卦掌、“左各庄杆会”、“里东庄音乐老会”的知名度，提高社会公众对非遗项目知晓率和重视程度。</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进一步弘扬优秀传统文化，促进全县的文化生态得到进一步传承保护和培育涵养。</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≥98百分比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社会效益指标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2022年12月底完成总目标的百分比</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生态效益指标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构建优秀传统文化传承体系、培育涵养文化生态。</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进一步弘扬优秀传统文化，促进全县的文化生态得到进一步传承保护和培育涵养。</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98百分比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可持续影响指标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扩大传承人群</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进一步扩大左各庄杆会再社会中的影响力和知名度，让广大人民群众尤其市青少年了解、学习左各庄杆会，进一步弘扬优秀传统文化，促进该项目的传承后继有人，解决传承危机的困境。</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服务对象满意度指标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提高服务群体满意度</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更好的保护弘扬非遗</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对象的满意度</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rPr>
      </w:pPr>
    </w:p>
    <w:p>
      <w:pPr>
        <w:numPr>
          <w:ilvl w:val="0"/>
          <w:numId w:val="1"/>
        </w:numPr>
        <w:ind w:firstLine="560" w:firstLineChars="200"/>
        <w:jc w:val="left"/>
        <w:outlineLvl w:val="1"/>
        <w:rPr>
          <w:rFonts w:hint="eastAsia" w:ascii="Times New Roman" w:hAnsi="Times New Roman" w:eastAsia="仿宋_GB2312" w:cs="Times New Roman"/>
          <w:sz w:val="28"/>
        </w:rPr>
      </w:pPr>
      <w:bookmarkStart w:id="6" w:name="_Toc_4_4_0000000011"/>
      <w:r>
        <w:rPr>
          <w:rFonts w:hint="eastAsia" w:ascii="Times New Roman" w:hAnsi="Times New Roman" w:eastAsia="仿宋_GB2312" w:cs="Times New Roman"/>
          <w:sz w:val="28"/>
        </w:rPr>
        <w:t>公共文化服务体系建设县级配套资金绩效目标表</w:t>
      </w:r>
      <w:bookmarkEnd w:id="6"/>
    </w:p>
    <w:tbl>
      <w:tblPr>
        <w:tblStyle w:val="9"/>
        <w:tblW w:w="139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2233"/>
        <w:gridCol w:w="1955"/>
        <w:gridCol w:w="3350"/>
        <w:gridCol w:w="1814"/>
        <w:gridCol w:w="2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568"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eastAsia" w:ascii="Times New Roman" w:hAnsi="Times New Roman" w:eastAsia="仿宋_GB2312" w:cs="Times New Roman"/>
                <w:lang w:val="en-US" w:eastAsia="zh-CN"/>
              </w:rPr>
              <w:t>提高公共文化服务效能，加强非遗项目的保护及传承，有效的促进我县公共文化事业的发展。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3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95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35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81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21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 xml:space="preserve">组织各类理论研讨、培训、讲座和对外交流活动12次。 </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组织各类文化活动不少于12次。</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≤12次</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实际举办次数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举办各种“七进”演出活动</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组织戏曲、西河大鼓、综艺性演出。</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≥70场</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实际举办场次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举办展览参观人数</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每次展览参观人数</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≥500人</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每次展览参观人数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质量指标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下基层流动服务受益人数</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每次下基层流动服务受益人数</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≥150人</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每次下基层流动服务受益人数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时效指标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2022年12月底完成总目标的百分比</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成本指标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举办各种“七进”演出活动</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进校园、进农村、进网站、进机关、进军营、进社区、进企业</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≤27.7万元</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成本指标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举办各类讲座、培训、展览、活动的费用</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举办各类讲座、培训、展览、活动的费用</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≤6万元</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举办各类讲座、培训、展览、活动的费用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社会效益指标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广大人民群众以两馆和乡镇综合文化站为平台开展了丰富多彩的文化活动，群众切实从这一民生工程中得到了实惠，丰富广大人民群众精神文化生活。</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丰富广大人民群众精神文化生活。</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社会效益指标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保障公民基本文化权益，丰富人民群众精神文化生活</w:t>
            </w:r>
            <w:r>
              <w:rPr>
                <w:rFonts w:hint="default"/>
              </w:rPr>
              <w:t>。</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群众文化权益得到保障</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生态效益指标</w:t>
            </w:r>
          </w:p>
        </w:tc>
        <w:tc>
          <w:tcPr>
            <w:tcW w:w="1955"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组织开展各种类型的阅读活动，有效促进我县文化事业的发展，营造浓厚的文化氛围。</w:t>
            </w:r>
          </w:p>
        </w:tc>
        <w:tc>
          <w:tcPr>
            <w:tcW w:w="3350"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文化氛围充足情况</w:t>
            </w:r>
          </w:p>
        </w:tc>
        <w:tc>
          <w:tcPr>
            <w:tcW w:w="1814"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≥90百分比</w:t>
            </w:r>
          </w:p>
        </w:tc>
        <w:tc>
          <w:tcPr>
            <w:tcW w:w="2216" w:type="dxa"/>
            <w:shd w:val="clear" w:color="auto" w:fill="auto"/>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文化氛围充足情况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生态效益指标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依托两馆和乡镇综合文化站为平台组织开展各种类文化活动，有效的促进我县文化事业的发展。</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有效的促进我县文化事业的发展。</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可持续影响指标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依托两馆和乡镇综合文化站和村综合文化服务中心为平台组织开展各种类文化活动，有效的促进我县文化事业的发展。</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有效的促进我县文化事业的发展。</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33"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服务对象满意度指标</w:t>
            </w:r>
          </w:p>
        </w:tc>
        <w:tc>
          <w:tcPr>
            <w:tcW w:w="1955"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受到我县广大人民群众的一致好评。</w:t>
            </w:r>
          </w:p>
        </w:tc>
        <w:tc>
          <w:tcPr>
            <w:tcW w:w="3350"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群众满意度</w:t>
            </w:r>
          </w:p>
        </w:tc>
        <w:tc>
          <w:tcPr>
            <w:tcW w:w="1814" w:type="dxa"/>
            <w:vAlign w:val="center"/>
          </w:tcPr>
          <w:p>
            <w:pPr>
              <w:pStyle w:val="17"/>
              <w:keepNext w:val="0"/>
              <w:keepLines w:val="0"/>
              <w:suppressLineNumbers w:val="0"/>
              <w:spacing w:beforeLines="0" w:beforeAutospacing="0" w:afterLines="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Lines="0" w:beforeAutospacing="0" w:afterLines="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kern w:val="2"/>
                <w:sz w:val="21"/>
                <w:szCs w:val="22"/>
                <w:lang w:val="en-US" w:eastAsia="zh-CN" w:bidi="ar-SA"/>
              </w:rPr>
              <w:t>对象的满意度</w:t>
            </w:r>
          </w:p>
        </w:tc>
      </w:tr>
    </w:tbl>
    <w:p>
      <w:pPr>
        <w:ind w:firstLine="560" w:firstLineChars="200"/>
        <w:jc w:val="left"/>
        <w:outlineLvl w:val="1"/>
        <w:rPr>
          <w:rFonts w:hint="eastAsia" w:ascii="Times New Roman" w:hAnsi="Times New Roman" w:eastAsia="仿宋_GB2312" w:cs="Times New Roman"/>
          <w:sz w:val="28"/>
          <w:lang w:val="en-US" w:eastAsia="zh-CN"/>
        </w:rPr>
      </w:pPr>
    </w:p>
    <w:p>
      <w:pPr>
        <w:numPr>
          <w:ilvl w:val="0"/>
          <w:numId w:val="0"/>
        </w:numPr>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bookmarkStart w:id="7" w:name="_Toc_4_4_0000000012"/>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numPr>
          <w:ilvl w:val="0"/>
          <w:numId w:val="1"/>
        </w:numPr>
        <w:ind w:left="0" w:leftChars="0" w:firstLine="560" w:firstLineChars="200"/>
        <w:jc w:val="left"/>
        <w:outlineLvl w:val="1"/>
        <w:rPr>
          <w:rFonts w:hint="eastAsia" w:ascii="Times New Roman" w:hAnsi="Times New Roman" w:eastAsia="仿宋_GB2312" w:cs="Times New Roman"/>
          <w:sz w:val="28"/>
        </w:rPr>
      </w:pPr>
      <w:r>
        <w:rPr>
          <w:rFonts w:hint="eastAsia" w:ascii="Times New Roman" w:hAnsi="Times New Roman" w:eastAsia="仿宋_GB2312" w:cs="Times New Roman"/>
          <w:sz w:val="28"/>
        </w:rPr>
        <w:t>三馆一站免费开放县级配套资金绩效目标表</w:t>
      </w:r>
      <w:bookmarkEnd w:id="7"/>
    </w:p>
    <w:tbl>
      <w:tblPr>
        <w:tblStyle w:val="9"/>
        <w:tblW w:w="139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2233"/>
        <w:gridCol w:w="1955"/>
        <w:gridCol w:w="3350"/>
        <w:gridCol w:w="1814"/>
        <w:gridCol w:w="2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568"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eastAsia" w:ascii="Times New Roman" w:hAnsi="Times New Roman" w:eastAsia="仿宋_GB2312" w:cs="Times New Roman"/>
                <w:lang w:val="en-US" w:eastAsia="zh-CN"/>
              </w:rPr>
              <w:t>通过项目的开展，完善了两馆和乡镇综合文化站的功能，充分发挥其职能作用，让群众切实从这一民生工程中得到了实惠，有效的促进我县文化事业的发展。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3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95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35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81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21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对文化馆舍进行维修保障良好的对外开放环境，办公设备更新保障工作的正常运行。</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达到三级文化馆的评估标准。</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组织大型文化活动6次、大型展览5次、各类理论研讨班4次、对外交流活动2次、组织群众业余文艺创作和文艺作品推广活动3次、 组织本馆群众文化团队4个开展活动。</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组织各类文化活动不少于22次。</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≥22次</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馆办文艺团队每年下基层演出。</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组织戏曲、西河大鼓、综艺性送文化下乡演出。</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≥70场</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举办各类培训、辅导30期。</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组织舞蹈、声乐等各类培训。</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≥30期</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举办各类讲座、培训、展览、活动次数</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举办各类讲座、培训、展览、活动的总次数</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≥50次</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更新图书、报刊的种数</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更新图书、报刊的种数</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≥2000种</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站舍墙壁粉刷，房屋的修补及办公设备。</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参考创建标准对各乡镇文化站进行整修，达标率100%。</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文化器材的采购保障更新保证综合文化站工作的正常运转。</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参考创建标准对各乡镇文化站的文化器材进行采购更新。</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≥200件（套）</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图书阅览室图书更新。</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更新率达到10%。</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每个乡镇综合文化站举办文化活动。</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每个乡镇综合文化站每年举办3场以上大型文化活动。</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≥3场</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公共电子阅览室服务及设备运行维护。</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保证每个乡镇综合文化站电子阅览室拥有10台以上电脑，达标率100%</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每个乡镇综合文化站举办各类业务培训10次</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各类业务培训次数</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≥10次</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按文化馆、图书馆和乡镇综合文化站的最高服务标准执行。</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服务社区、乡镇、村街，服务覆盖率。</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时效指标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2022年12月底完成总目标的百分比</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成本指标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两馆一站工作正常开展成本</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设备更新、开展文化活动</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105百分比</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按文化馆、图书馆和乡镇综合文化站的最高服务标准执行。</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服务社区、乡镇、村街，服务覆盖率。</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经济效益指标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2022年12月底完成总目标的百分比</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生态效益指标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两馆一站工作正常开展成本</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设备更新、开展文化活动</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105百分比</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Merge w:val="continue"/>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可持续影响指标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依托两馆和乡镇综合文化站为平台组织开展各种类文化活动，有效的促进我县文化事业的发展。</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有效的促进我县文化事业的发展。</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33"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服务对象满意度指标</w:t>
            </w:r>
          </w:p>
        </w:tc>
        <w:tc>
          <w:tcPr>
            <w:tcW w:w="1955"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受到我县广大人民群众的一致好评。</w:t>
            </w:r>
          </w:p>
        </w:tc>
        <w:tc>
          <w:tcPr>
            <w:tcW w:w="3350"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群众满意度</w:t>
            </w:r>
          </w:p>
        </w:tc>
        <w:tc>
          <w:tcPr>
            <w:tcW w:w="1814" w:type="dxa"/>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216" w:type="dxa"/>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对象的满意度</w:t>
            </w:r>
          </w:p>
        </w:tc>
      </w:tr>
    </w:tbl>
    <w:p>
      <w:pPr>
        <w:ind w:firstLine="560" w:firstLineChars="200"/>
        <w:jc w:val="left"/>
        <w:outlineLvl w:val="1"/>
        <w:rPr>
          <w:rFonts w:hint="eastAsia" w:ascii="Times New Roman" w:hAnsi="Times New Roman" w:eastAsia="仿宋_GB2312" w:cs="Times New Roman"/>
          <w:sz w:val="28"/>
          <w:lang w:val="en-US" w:eastAsia="zh-CN"/>
        </w:rPr>
      </w:pPr>
    </w:p>
    <w:p>
      <w:pPr>
        <w:numPr>
          <w:ilvl w:val="0"/>
          <w:numId w:val="0"/>
        </w:numPr>
        <w:ind w:leftChars="200"/>
        <w:jc w:val="left"/>
        <w:outlineLvl w:val="1"/>
        <w:rPr>
          <w:rFonts w:hint="eastAsia" w:ascii="Times New Roman" w:hAnsi="Times New Roman" w:eastAsia="仿宋_GB2312" w:cs="Times New Roman"/>
          <w:sz w:val="28"/>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numPr>
          <w:ilvl w:val="0"/>
          <w:numId w:val="1"/>
        </w:numPr>
        <w:ind w:left="0" w:leftChars="0" w:firstLine="560" w:firstLineChars="200"/>
        <w:jc w:val="left"/>
        <w:outlineLvl w:val="1"/>
        <w:rPr>
          <w:rFonts w:hint="eastAsia" w:ascii="Times New Roman" w:hAnsi="Times New Roman" w:eastAsia="仿宋_GB2312" w:cs="Times New Roman"/>
          <w:sz w:val="28"/>
        </w:rPr>
      </w:pPr>
      <w:bookmarkStart w:id="8" w:name="_Toc_4_4_0000000013"/>
      <w:r>
        <w:rPr>
          <w:rFonts w:hint="eastAsia" w:ascii="Times New Roman" w:hAnsi="Times New Roman" w:eastAsia="仿宋_GB2312" w:cs="Times New Roman"/>
          <w:sz w:val="28"/>
        </w:rPr>
        <w:t>文安县文化艺术中心建设工程绩效目标表</w:t>
      </w:r>
      <w:bookmarkEnd w:id="8"/>
    </w:p>
    <w:tbl>
      <w:tblPr>
        <w:tblStyle w:val="9"/>
        <w:tblW w:w="139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2233"/>
        <w:gridCol w:w="1955"/>
        <w:gridCol w:w="3350"/>
        <w:gridCol w:w="1814"/>
        <w:gridCol w:w="2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568"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eastAsia" w:ascii="Times New Roman" w:hAnsi="Times New Roman" w:eastAsia="仿宋_GB2312" w:cs="Times New Roman"/>
                <w:lang w:val="en-US" w:eastAsia="zh-CN"/>
              </w:rPr>
              <w:t>保障文化艺术中心工程建设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3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95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35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81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21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建设工程总量</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建设工程总量</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第三方造价咨询报告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工程质量合格率</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工程质量合格率</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工程监理报告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竣工验收合格率</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竣工验收合格率</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时效指标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项目按计划开工率</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项目按计划开工率</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成本指标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实际支出</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实际支出</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≤4000万元</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建筑（工程）综合利用率</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建筑（工程）综合利用率</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设施正常运转率</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设施正常运转率</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45" w:hRule="atLeast"/>
          <w:jc w:val="center"/>
        </w:trPr>
        <w:tc>
          <w:tcPr>
            <w:tcW w:w="2372"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default" w:ascii="Times New Roman" w:hAnsi="Times New Roman" w:eastAsia="仿宋_GB2312" w:cs="Times New Roman"/>
              </w:rPr>
              <w:t>满意度指标</w:t>
            </w: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kern w:val="2"/>
                <w:sz w:val="21"/>
                <w:szCs w:val="22"/>
                <w:lang w:val="en-US" w:eastAsia="zh-CN" w:bidi="ar-SA"/>
              </w:rPr>
              <w:t>服务对象满意度指标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kern w:val="2"/>
                <w:sz w:val="21"/>
                <w:szCs w:val="22"/>
                <w:lang w:val="en-US" w:eastAsia="zh-CN" w:bidi="ar-SA"/>
              </w:rPr>
              <w:t>使用人员满意度</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kern w:val="2"/>
                <w:sz w:val="21"/>
                <w:szCs w:val="22"/>
                <w:lang w:val="en-US" w:eastAsia="zh-CN" w:bidi="ar-SA"/>
              </w:rPr>
              <w:t>使用人员满意度</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lang w:val="en-US" w:eastAsia="zh-CN"/>
              </w:rPr>
            </w:pPr>
            <w:r>
              <w:rPr>
                <w:rFonts w:hint="eastAsia" w:ascii="Times New Roman" w:hAnsi="Times New Roman" w:eastAsia="仿宋_GB2312" w:cs="Times New Roman"/>
                <w:kern w:val="2"/>
                <w:sz w:val="21"/>
                <w:szCs w:val="22"/>
                <w:lang w:val="en-US" w:eastAsia="zh-CN" w:bidi="ar-SA"/>
              </w:rPr>
              <w:t>≥90百分比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kern w:val="2"/>
                <w:sz w:val="21"/>
                <w:szCs w:val="22"/>
                <w:lang w:val="en-US" w:eastAsia="zh-CN" w:bidi="ar-SA"/>
              </w:rPr>
              <w:t>使用人员满意度</w:t>
            </w:r>
          </w:p>
        </w:tc>
      </w:tr>
    </w:tbl>
    <w:p>
      <w:pPr>
        <w:ind w:firstLine="560" w:firstLineChars="200"/>
        <w:jc w:val="left"/>
        <w:outlineLvl w:val="1"/>
        <w:rPr>
          <w:rFonts w:hint="eastAsia" w:ascii="Times New Roman" w:hAnsi="Times New Roman" w:eastAsia="仿宋_GB2312" w:cs="Times New Roman"/>
          <w:sz w:val="28"/>
          <w:lang w:val="en-US" w:eastAsia="zh-CN"/>
        </w:rPr>
      </w:pPr>
    </w:p>
    <w:p>
      <w:pPr>
        <w:numPr>
          <w:ilvl w:val="0"/>
          <w:numId w:val="0"/>
        </w:numPr>
        <w:ind w:left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bookmarkStart w:id="9" w:name="_Toc_4_4_0000000014"/>
    </w:p>
    <w:p>
      <w:pPr>
        <w:ind w:firstLine="560" w:firstLineChars="200"/>
        <w:jc w:val="left"/>
        <w:outlineLvl w:val="1"/>
        <w:rPr>
          <w:rFonts w:hint="eastAsia" w:ascii="Times New Roman" w:hAnsi="Times New Roman" w:eastAsia="仿宋_GB2312" w:cs="Times New Roman"/>
          <w:sz w:val="28"/>
        </w:rPr>
      </w:pPr>
      <w:r>
        <w:rPr>
          <w:rFonts w:hint="eastAsia" w:ascii="Times New Roman" w:hAnsi="Times New Roman" w:eastAsia="仿宋_GB2312" w:cs="Times New Roman"/>
          <w:sz w:val="28"/>
        </w:rPr>
        <w:t>11.文化市场综合行政执法局经费绩效目标表</w:t>
      </w:r>
      <w:bookmarkEnd w:id="9"/>
    </w:p>
    <w:tbl>
      <w:tblPr>
        <w:tblStyle w:val="9"/>
        <w:tblW w:w="139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2233"/>
        <w:gridCol w:w="1955"/>
        <w:gridCol w:w="3350"/>
        <w:gridCol w:w="1814"/>
        <w:gridCol w:w="2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绩效目标</w:t>
            </w:r>
          </w:p>
        </w:tc>
        <w:tc>
          <w:tcPr>
            <w:tcW w:w="11568" w:type="dxa"/>
            <w:gridSpan w:val="5"/>
            <w:shd w:val="clear" w:color="auto" w:fill="auto"/>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b/>
                <w:lang w:val="en-US" w:eastAsia="zh-CN"/>
              </w:rPr>
            </w:pPr>
            <w:r>
              <w:rPr>
                <w:rFonts w:hint="eastAsia" w:ascii="Times New Roman" w:hAnsi="Times New Roman" w:eastAsia="仿宋_GB2312" w:cs="Times New Roman"/>
                <w:lang w:val="en-US" w:eastAsia="zh-CN"/>
              </w:rPr>
              <w:t>计划购置执法服装9套，宣传工作5次，开展“扫黄打非”“扫黑除恶”、文化市场法律法规、双随机一公开等专项行动及工作。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一级指标</w:t>
            </w:r>
          </w:p>
        </w:tc>
        <w:tc>
          <w:tcPr>
            <w:tcW w:w="223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二级指标</w:t>
            </w:r>
          </w:p>
        </w:tc>
        <w:tc>
          <w:tcPr>
            <w:tcW w:w="195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三级指标</w:t>
            </w:r>
          </w:p>
        </w:tc>
        <w:tc>
          <w:tcPr>
            <w:tcW w:w="335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绩效指标描述</w:t>
            </w:r>
          </w:p>
        </w:tc>
        <w:tc>
          <w:tcPr>
            <w:tcW w:w="181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w:t>
            </w:r>
          </w:p>
        </w:tc>
        <w:tc>
          <w:tcPr>
            <w:tcW w:w="221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被装购置</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执法服装</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9套</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冀文旅综执字【2021】2号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数量指标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普法宣传</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宣传次数</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≥4次</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实际开展次数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质量指标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合格率</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所购产品合格率</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产品合格率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时效指标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供货期限</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从合同签订到货物送达的时间周期</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实际收货时间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成本指标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项目总成本</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项目总成本</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≤10万元</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效果指标</w:t>
            </w: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社会效益指标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文化市场违规率</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年度文化市场违规率</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≤0.2百分比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根据我县实际情况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237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可持续影响指标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企业主遵法守法意识提升</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项目持续发挥作用年限</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≥1年</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4" w:hRule="atLeast"/>
          <w:jc w:val="center"/>
        </w:trPr>
        <w:tc>
          <w:tcPr>
            <w:tcW w:w="237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33"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服务对象满意度指标</w:t>
            </w:r>
          </w:p>
        </w:tc>
        <w:tc>
          <w:tcPr>
            <w:tcW w:w="1955"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广大人民群众及青少年满意度</w:t>
            </w:r>
          </w:p>
        </w:tc>
        <w:tc>
          <w:tcPr>
            <w:tcW w:w="3350"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广大人民群众及青少年对文化市场的满意度</w:t>
            </w:r>
          </w:p>
        </w:tc>
        <w:tc>
          <w:tcPr>
            <w:tcW w:w="1814" w:type="dxa"/>
            <w:shd w:val="clear" w:color="auto" w:fill="auto"/>
            <w:vAlign w:val="center"/>
          </w:tcPr>
          <w:p>
            <w:pPr>
              <w:pStyle w:val="17"/>
              <w:keepNext w:val="0"/>
              <w:keepLines w:val="0"/>
              <w:suppressLineNumbers w:val="0"/>
              <w:spacing w:beforeAutospacing="0" w:afterAutospacing="0"/>
              <w:ind w:left="0" w:right="0" w:firstLine="0" w:firstLineChars="0"/>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≥95百分比</w:t>
            </w:r>
          </w:p>
        </w:tc>
        <w:tc>
          <w:tcPr>
            <w:tcW w:w="2216" w:type="dxa"/>
            <w:shd w:val="clear" w:color="auto" w:fill="auto"/>
            <w:vAlign w:val="center"/>
          </w:tcPr>
          <w:p>
            <w:pPr>
              <w:pStyle w:val="17"/>
              <w:keepNext w:val="0"/>
              <w:keepLines w:val="0"/>
              <w:suppressLineNumbers w:val="0"/>
              <w:spacing w:beforeAutospacing="0" w:afterAutospacing="0"/>
              <w:ind w:left="0" w:right="0" w:firstLine="0" w:firstLineChars="0"/>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根据省、市、县三级政府对我局要求</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2</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108</w:t>
      </w:r>
      <w:r>
        <w:rPr>
          <w:rFonts w:ascii="Times New Roman" w:hAnsi="Times New Roman" w:eastAsia="仿宋_GB2312" w:cs="Times New Roman"/>
          <w:sz w:val="32"/>
          <w:szCs w:val="24"/>
        </w:rPr>
        <w:t>万元。具体内容见下表。</w:t>
      </w:r>
    </w:p>
    <w:bookmarkEnd w:id="1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1" w:name="_Toc64920910"/>
      <w:r>
        <w:rPr>
          <w:rFonts w:hint="eastAsia" w:ascii="方正小标宋_GBK" w:eastAsia="方正小标宋_GBK" w:cs="Times New Roman"/>
          <w:sz w:val="32"/>
        </w:rPr>
        <w:t>部门政府采购预算</w:t>
      </w:r>
      <w:bookmarkEnd w:id="11"/>
    </w:p>
    <w:tbl>
      <w:tblPr>
        <w:tblStyle w:val="9"/>
        <w:tblpPr w:leftFromText="180" w:rightFromText="180" w:vertAnchor="text" w:horzAnchor="page" w:tblpX="1764" w:tblpY="1089"/>
        <w:tblOverlap w:val="never"/>
        <w:tblW w:w="139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901"/>
        <w:gridCol w:w="936"/>
        <w:gridCol w:w="1121"/>
        <w:gridCol w:w="834"/>
        <w:gridCol w:w="524"/>
        <w:gridCol w:w="727"/>
        <w:gridCol w:w="1196"/>
        <w:gridCol w:w="675"/>
        <w:gridCol w:w="881"/>
        <w:gridCol w:w="859"/>
        <w:gridCol w:w="643"/>
        <w:gridCol w:w="727"/>
        <w:gridCol w:w="727"/>
        <w:gridCol w:w="727"/>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96" w:hRule="atLeast"/>
          <w:tblHeader/>
        </w:trPr>
        <w:tc>
          <w:tcPr>
            <w:tcW w:w="6618" w:type="dxa"/>
            <w:gridSpan w:val="7"/>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小标宋_GBK" w:eastAsia="方正小标宋_GBK" w:cs="Times New Roman"/>
                <w:sz w:val="24"/>
                <w:lang w:eastAsia="zh-CN"/>
              </w:rPr>
            </w:pPr>
            <w:r>
              <w:rPr>
                <w:rFonts w:hint="eastAsia" w:ascii="方正小标宋_GBK" w:eastAsia="方正小标宋_GBK"/>
                <w:sz w:val="24"/>
                <w:lang w:eastAsia="zh-CN"/>
              </w:rPr>
              <w:t>文安县文化广电和旅游局</w:t>
            </w:r>
          </w:p>
        </w:tc>
        <w:tc>
          <w:tcPr>
            <w:tcW w:w="4981" w:type="dxa"/>
            <w:gridSpan w:val="6"/>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sz w:val="24"/>
              </w:rPr>
            </w:pPr>
            <w:r>
              <w:rPr>
                <w:rFonts w:hint="default" w:ascii="方正书宋_GBK" w:eastAsia="方正书宋_GBK" w:cs="Times New Roman"/>
                <w:sz w:val="24"/>
              </w:rPr>
              <w:t>单位：万元</w:t>
            </w:r>
          </w:p>
        </w:tc>
        <w:tc>
          <w:tcPr>
            <w:tcW w:w="727" w:type="dxa"/>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sz w:val="24"/>
              </w:rPr>
            </w:pPr>
          </w:p>
        </w:tc>
        <w:tc>
          <w:tcPr>
            <w:tcW w:w="727" w:type="dxa"/>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sz w:val="24"/>
              </w:rPr>
            </w:pPr>
          </w:p>
        </w:tc>
        <w:tc>
          <w:tcPr>
            <w:tcW w:w="875" w:type="dxa"/>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78" w:hRule="atLeast"/>
          <w:tblHeader/>
        </w:trPr>
        <w:tc>
          <w:tcPr>
            <w:tcW w:w="2476" w:type="dxa"/>
            <w:gridSpan w:val="2"/>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政府采购项目来源</w:t>
            </w:r>
          </w:p>
        </w:tc>
        <w:tc>
          <w:tcPr>
            <w:tcW w:w="936"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采购物品名称</w:t>
            </w:r>
          </w:p>
        </w:tc>
        <w:tc>
          <w:tcPr>
            <w:tcW w:w="1121"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政府采购目录序号</w:t>
            </w:r>
          </w:p>
        </w:tc>
        <w:tc>
          <w:tcPr>
            <w:tcW w:w="834"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计量  单位</w:t>
            </w:r>
          </w:p>
        </w:tc>
        <w:tc>
          <w:tcPr>
            <w:tcW w:w="524"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数量</w:t>
            </w:r>
          </w:p>
        </w:tc>
        <w:tc>
          <w:tcPr>
            <w:tcW w:w="727"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单价</w:t>
            </w:r>
          </w:p>
        </w:tc>
        <w:tc>
          <w:tcPr>
            <w:tcW w:w="6435" w:type="dxa"/>
            <w:gridSpan w:val="8"/>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政府采购金额（当年部门预算安排资金）</w:t>
            </w:r>
          </w:p>
        </w:tc>
        <w:tc>
          <w:tcPr>
            <w:tcW w:w="875"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5" w:hRule="atLeast"/>
          <w:tblHeader/>
        </w:trPr>
        <w:tc>
          <w:tcPr>
            <w:tcW w:w="15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项目名称</w:t>
            </w:r>
          </w:p>
        </w:tc>
        <w:tc>
          <w:tcPr>
            <w:tcW w:w="9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预算资金</w:t>
            </w:r>
          </w:p>
        </w:tc>
        <w:tc>
          <w:tcPr>
            <w:tcW w:w="936"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1121"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834"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524"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727"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119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合计</w:t>
            </w:r>
          </w:p>
        </w:tc>
        <w:tc>
          <w:tcPr>
            <w:tcW w:w="6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一般公共预算拨款</w:t>
            </w:r>
          </w:p>
        </w:tc>
        <w:tc>
          <w:tcPr>
            <w:tcW w:w="88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基金预算拨款</w:t>
            </w: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国有资本经营预算拨款</w:t>
            </w: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财政专户核拨</w:t>
            </w: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单位资金</w:t>
            </w: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财政拨    款结转</w:t>
            </w: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非财政    拨款结    转结余</w:t>
            </w:r>
          </w:p>
        </w:tc>
        <w:tc>
          <w:tcPr>
            <w:tcW w:w="875"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9" w:hRule="atLeast"/>
        </w:trPr>
        <w:tc>
          <w:tcPr>
            <w:tcW w:w="15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default" w:ascii="方正书宋_GBK" w:eastAsia="方正书宋_GBK" w:cs="Times New Roman"/>
                <w:b/>
              </w:rPr>
              <w:t>合  计</w:t>
            </w:r>
          </w:p>
        </w:tc>
        <w:tc>
          <w:tcPr>
            <w:tcW w:w="901"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93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cs="Times New Roman"/>
                <w:b/>
                <w:lang w:eastAsia="zh-CN"/>
              </w:rPr>
            </w:pPr>
          </w:p>
        </w:tc>
        <w:tc>
          <w:tcPr>
            <w:tcW w:w="112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p>
        </w:tc>
        <w:tc>
          <w:tcPr>
            <w:tcW w:w="8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lang w:val="en-US" w:eastAsia="zh-CN"/>
              </w:rPr>
            </w:pPr>
          </w:p>
        </w:tc>
        <w:tc>
          <w:tcPr>
            <w:tcW w:w="52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p>
        </w:tc>
        <w:tc>
          <w:tcPr>
            <w:tcW w:w="1196"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108</w:t>
            </w:r>
          </w:p>
        </w:tc>
        <w:tc>
          <w:tcPr>
            <w:tcW w:w="675"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108</w:t>
            </w:r>
          </w:p>
        </w:tc>
        <w:tc>
          <w:tcPr>
            <w:tcW w:w="881"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875"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04" w:hRule="atLeast"/>
        </w:trPr>
        <w:tc>
          <w:tcPr>
            <w:tcW w:w="15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eastAsia" w:ascii="方正书宋_GBK" w:eastAsia="方正书宋_GBK" w:cs="Times New Roman"/>
                <w:b/>
                <w:lang w:val="en-US" w:eastAsia="zh-CN"/>
              </w:rPr>
              <w:t>2022年中央补助地方公共文化服务体系建设专项资金</w:t>
            </w:r>
          </w:p>
        </w:tc>
        <w:tc>
          <w:tcPr>
            <w:tcW w:w="901"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rPr>
            </w:pPr>
            <w:r>
              <w:rPr>
                <w:rFonts w:hint="eastAsia" w:ascii="方正书宋_GBK" w:eastAsia="方正书宋_GBK" w:cs="Times New Roman"/>
                <w:b/>
                <w:lang w:val="en-US" w:eastAsia="zh-CN"/>
              </w:rPr>
              <w:t>108</w:t>
            </w:r>
          </w:p>
        </w:tc>
        <w:tc>
          <w:tcPr>
            <w:tcW w:w="93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b/>
              </w:rPr>
            </w:pPr>
            <w:r>
              <w:rPr>
                <w:rFonts w:hint="eastAsia" w:ascii="方正书宋_GBK" w:eastAsia="方正书宋_GBK" w:cs="Times New Roman"/>
                <w:b/>
                <w:lang w:eastAsia="zh-CN"/>
              </w:rPr>
              <w:t>文安县</w:t>
            </w:r>
            <w:r>
              <w:rPr>
                <w:rFonts w:hint="eastAsia" w:ascii="方正书宋_GBK" w:eastAsia="方正书宋_GBK" w:cs="Times New Roman"/>
                <w:b/>
                <w:lang w:val="en-US" w:eastAsia="zh-CN"/>
              </w:rPr>
              <w:t>2022年</w:t>
            </w:r>
            <w:r>
              <w:rPr>
                <w:rFonts w:hint="eastAsia" w:ascii="方正书宋_GBK" w:eastAsia="方正书宋_GBK" w:cs="Times New Roman"/>
                <w:b/>
                <w:lang w:eastAsia="zh-CN"/>
              </w:rPr>
              <w:t>送文艺下乡演出</w:t>
            </w:r>
          </w:p>
        </w:tc>
        <w:tc>
          <w:tcPr>
            <w:tcW w:w="112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eastAsia" w:ascii="方正书宋_GBK" w:eastAsia="方正书宋_GBK" w:cs="Times New Roman"/>
                <w:b/>
                <w:lang w:eastAsia="zh-CN"/>
              </w:rPr>
              <w:t>C200307</w:t>
            </w:r>
          </w:p>
        </w:tc>
        <w:tc>
          <w:tcPr>
            <w:tcW w:w="8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b/>
              </w:rPr>
            </w:pPr>
            <w:r>
              <w:rPr>
                <w:rFonts w:hint="eastAsia" w:ascii="方正书宋_GBK" w:eastAsia="方正书宋_GBK" w:cs="Times New Roman"/>
                <w:b/>
                <w:lang w:val="en-US" w:eastAsia="zh-CN"/>
              </w:rPr>
              <w:t>场</w:t>
            </w:r>
          </w:p>
        </w:tc>
        <w:tc>
          <w:tcPr>
            <w:tcW w:w="52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rPr>
            </w:pPr>
            <w:r>
              <w:rPr>
                <w:rFonts w:hint="eastAsia" w:ascii="方正书宋_GBK" w:eastAsia="方正书宋_GBK" w:cs="Times New Roman"/>
                <w:b/>
                <w:lang w:val="en-US" w:eastAsia="zh-CN"/>
              </w:rPr>
              <w:t>30</w:t>
            </w: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3.6</w:t>
            </w:r>
          </w:p>
        </w:tc>
        <w:tc>
          <w:tcPr>
            <w:tcW w:w="1196"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rPr>
            </w:pPr>
            <w:r>
              <w:rPr>
                <w:rFonts w:hint="eastAsia" w:ascii="方正书宋_GBK" w:eastAsia="方正书宋_GBK" w:cs="Times New Roman"/>
                <w:b/>
                <w:lang w:val="en-US" w:eastAsia="zh-CN"/>
              </w:rPr>
              <w:t>108</w:t>
            </w:r>
          </w:p>
        </w:tc>
        <w:tc>
          <w:tcPr>
            <w:tcW w:w="675"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rPr>
            </w:pPr>
            <w:r>
              <w:rPr>
                <w:rFonts w:hint="eastAsia" w:ascii="方正书宋_GBK" w:eastAsia="方正书宋_GBK" w:cs="Times New Roman"/>
                <w:b/>
                <w:lang w:val="en-US" w:eastAsia="zh-CN"/>
              </w:rPr>
              <w:t>108</w:t>
            </w:r>
          </w:p>
        </w:tc>
        <w:tc>
          <w:tcPr>
            <w:tcW w:w="881"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rPr>
            </w:pPr>
          </w:p>
        </w:tc>
        <w:tc>
          <w:tcPr>
            <w:tcW w:w="875"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96" w:hRule="atLeast"/>
        </w:trPr>
        <w:tc>
          <w:tcPr>
            <w:tcW w:w="1575"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901"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93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112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cs="Times New Roman"/>
              </w:rPr>
            </w:pPr>
          </w:p>
        </w:tc>
        <w:tc>
          <w:tcPr>
            <w:tcW w:w="8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cs="Times New Roman"/>
              </w:rPr>
            </w:pPr>
          </w:p>
        </w:tc>
        <w:tc>
          <w:tcPr>
            <w:tcW w:w="524"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1196"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675"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881"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859"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643"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727"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c>
          <w:tcPr>
            <w:tcW w:w="875" w:type="dxa"/>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文安县文化广电和旅游局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837.40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图书馆购置图书</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，已列入预算</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廊坊市市直部门固定资产占用情况表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left"/>
              <w:rPr>
                <w:rFonts w:hint="eastAsia" w:ascii="Times New Roman" w:hAnsi="Times New Roman" w:eastAsia="仿宋_GB2312" w:cs="Times New Roman"/>
                <w:kern w:val="0"/>
                <w:sz w:val="22"/>
                <w:lang w:eastAsia="zh-CN"/>
              </w:rPr>
            </w:pPr>
            <w:r>
              <w:rPr>
                <w:rFonts w:hint="default"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文安县文化广电和旅游局</w:t>
            </w:r>
          </w:p>
        </w:tc>
        <w:tc>
          <w:tcPr>
            <w:tcW w:w="5103"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1</w:t>
            </w:r>
            <w:r>
              <w:rPr>
                <w:rFonts w:hint="default" w:ascii="Times New Roman" w:hAnsi="Times New Roman" w:eastAsia="仿宋_GB2312" w:cs="Times New Roman"/>
                <w:kern w:val="0"/>
                <w:sz w:val="22"/>
              </w:rPr>
              <w:t xml:space="preserve">年12月31日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837.40</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5700</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305.85</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275.4</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18.12</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51.78</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461.65</w:t>
            </w:r>
            <w:bookmarkStart w:id="12" w:name="_GoBack"/>
            <w:bookmarkEnd w:id="12"/>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EACE1"/>
    <w:multiLevelType w:val="singleLevel"/>
    <w:tmpl w:val="53DEACE1"/>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592"/>
    <w:rsid w:val="004A2494"/>
    <w:rsid w:val="004A54AA"/>
    <w:rsid w:val="006929D5"/>
    <w:rsid w:val="008F75EB"/>
    <w:rsid w:val="00924EAE"/>
    <w:rsid w:val="00A706FE"/>
    <w:rsid w:val="00B10164"/>
    <w:rsid w:val="00B80935"/>
    <w:rsid w:val="00D347CC"/>
    <w:rsid w:val="011E08FB"/>
    <w:rsid w:val="01237F79"/>
    <w:rsid w:val="015F3C4B"/>
    <w:rsid w:val="019E32C4"/>
    <w:rsid w:val="01AF2FA0"/>
    <w:rsid w:val="02A916C4"/>
    <w:rsid w:val="030D6FA7"/>
    <w:rsid w:val="031776DC"/>
    <w:rsid w:val="036D6F50"/>
    <w:rsid w:val="037C0C0D"/>
    <w:rsid w:val="03D10174"/>
    <w:rsid w:val="0403624C"/>
    <w:rsid w:val="0480798A"/>
    <w:rsid w:val="04D712B3"/>
    <w:rsid w:val="04F115F0"/>
    <w:rsid w:val="058208AF"/>
    <w:rsid w:val="05E07300"/>
    <w:rsid w:val="06AB7045"/>
    <w:rsid w:val="06B27F6A"/>
    <w:rsid w:val="075F0C39"/>
    <w:rsid w:val="076D528F"/>
    <w:rsid w:val="078D0CC0"/>
    <w:rsid w:val="07CE3547"/>
    <w:rsid w:val="07ED12FD"/>
    <w:rsid w:val="08451026"/>
    <w:rsid w:val="08E74274"/>
    <w:rsid w:val="08ED2A1F"/>
    <w:rsid w:val="0963175D"/>
    <w:rsid w:val="09791BBF"/>
    <w:rsid w:val="099009BE"/>
    <w:rsid w:val="09BC6341"/>
    <w:rsid w:val="0A7941D0"/>
    <w:rsid w:val="0ACE2BF1"/>
    <w:rsid w:val="0AEA4E64"/>
    <w:rsid w:val="0B4B4541"/>
    <w:rsid w:val="0B6732EA"/>
    <w:rsid w:val="0B8F6A93"/>
    <w:rsid w:val="0BF83ACB"/>
    <w:rsid w:val="0C07065F"/>
    <w:rsid w:val="0C93106B"/>
    <w:rsid w:val="0CA8438D"/>
    <w:rsid w:val="0D30624A"/>
    <w:rsid w:val="0D9C20D0"/>
    <w:rsid w:val="0DBD4AEF"/>
    <w:rsid w:val="0E0F4FCE"/>
    <w:rsid w:val="0E2423D1"/>
    <w:rsid w:val="0E281987"/>
    <w:rsid w:val="0E8F1E42"/>
    <w:rsid w:val="0F0622C8"/>
    <w:rsid w:val="0F350EA7"/>
    <w:rsid w:val="0FCE39B8"/>
    <w:rsid w:val="0FDE1108"/>
    <w:rsid w:val="113A5554"/>
    <w:rsid w:val="11C4481E"/>
    <w:rsid w:val="1252451C"/>
    <w:rsid w:val="12A610B3"/>
    <w:rsid w:val="133A0F82"/>
    <w:rsid w:val="13546EA9"/>
    <w:rsid w:val="142D347A"/>
    <w:rsid w:val="14815A57"/>
    <w:rsid w:val="148831EE"/>
    <w:rsid w:val="149C6A7F"/>
    <w:rsid w:val="14D048FC"/>
    <w:rsid w:val="14D273F0"/>
    <w:rsid w:val="15B678F7"/>
    <w:rsid w:val="15FB1155"/>
    <w:rsid w:val="16356791"/>
    <w:rsid w:val="16505934"/>
    <w:rsid w:val="174F11B0"/>
    <w:rsid w:val="17CD4248"/>
    <w:rsid w:val="17EA4547"/>
    <w:rsid w:val="18047CA2"/>
    <w:rsid w:val="1874579D"/>
    <w:rsid w:val="18923535"/>
    <w:rsid w:val="18E6131B"/>
    <w:rsid w:val="18F82385"/>
    <w:rsid w:val="18F82AB1"/>
    <w:rsid w:val="191C5A21"/>
    <w:rsid w:val="191F1016"/>
    <w:rsid w:val="19766730"/>
    <w:rsid w:val="19EF2DD3"/>
    <w:rsid w:val="19F1585F"/>
    <w:rsid w:val="1B5D612E"/>
    <w:rsid w:val="1B774377"/>
    <w:rsid w:val="1B941804"/>
    <w:rsid w:val="1BDE7D1D"/>
    <w:rsid w:val="1C2C6B42"/>
    <w:rsid w:val="1D0D150D"/>
    <w:rsid w:val="1D672DE4"/>
    <w:rsid w:val="1DD66905"/>
    <w:rsid w:val="1DDF7F25"/>
    <w:rsid w:val="1DE10918"/>
    <w:rsid w:val="1E9779B5"/>
    <w:rsid w:val="1EA01805"/>
    <w:rsid w:val="1F1935D6"/>
    <w:rsid w:val="20316575"/>
    <w:rsid w:val="2064662A"/>
    <w:rsid w:val="20AC761E"/>
    <w:rsid w:val="210401CF"/>
    <w:rsid w:val="2108476D"/>
    <w:rsid w:val="215548F3"/>
    <w:rsid w:val="21696DF0"/>
    <w:rsid w:val="226C7BE7"/>
    <w:rsid w:val="227E2AB0"/>
    <w:rsid w:val="2394482F"/>
    <w:rsid w:val="239C7263"/>
    <w:rsid w:val="2540110F"/>
    <w:rsid w:val="25C620DE"/>
    <w:rsid w:val="26583AE5"/>
    <w:rsid w:val="269A14C2"/>
    <w:rsid w:val="270647E1"/>
    <w:rsid w:val="271B2288"/>
    <w:rsid w:val="27227E75"/>
    <w:rsid w:val="272D0F67"/>
    <w:rsid w:val="272F497A"/>
    <w:rsid w:val="27C53821"/>
    <w:rsid w:val="285B53C5"/>
    <w:rsid w:val="288C2323"/>
    <w:rsid w:val="289645B1"/>
    <w:rsid w:val="296C2DAC"/>
    <w:rsid w:val="29B715B7"/>
    <w:rsid w:val="2A80532F"/>
    <w:rsid w:val="2A8F1231"/>
    <w:rsid w:val="2AE972DC"/>
    <w:rsid w:val="2B493A85"/>
    <w:rsid w:val="2BE03D09"/>
    <w:rsid w:val="2BF017A2"/>
    <w:rsid w:val="2C0E4765"/>
    <w:rsid w:val="2C3F5A72"/>
    <w:rsid w:val="2D761981"/>
    <w:rsid w:val="2D8B1A8F"/>
    <w:rsid w:val="2DFA07D8"/>
    <w:rsid w:val="2E77136E"/>
    <w:rsid w:val="2E9102D7"/>
    <w:rsid w:val="2F294FB2"/>
    <w:rsid w:val="2F2C7073"/>
    <w:rsid w:val="2FF93A4E"/>
    <w:rsid w:val="305D7B66"/>
    <w:rsid w:val="312E55B9"/>
    <w:rsid w:val="316340FB"/>
    <w:rsid w:val="31A815B9"/>
    <w:rsid w:val="326E39F0"/>
    <w:rsid w:val="327C55E6"/>
    <w:rsid w:val="32EE7F99"/>
    <w:rsid w:val="3303279A"/>
    <w:rsid w:val="33963314"/>
    <w:rsid w:val="33D705C7"/>
    <w:rsid w:val="340A68CA"/>
    <w:rsid w:val="35920C13"/>
    <w:rsid w:val="35B0129D"/>
    <w:rsid w:val="36005757"/>
    <w:rsid w:val="363C1765"/>
    <w:rsid w:val="3685306C"/>
    <w:rsid w:val="368E3F2E"/>
    <w:rsid w:val="36AD0578"/>
    <w:rsid w:val="37925485"/>
    <w:rsid w:val="37EA1DE2"/>
    <w:rsid w:val="38362C60"/>
    <w:rsid w:val="390F6FA2"/>
    <w:rsid w:val="3A095FC1"/>
    <w:rsid w:val="3A4F5238"/>
    <w:rsid w:val="3B0B3AE5"/>
    <w:rsid w:val="3B25468B"/>
    <w:rsid w:val="3B697D75"/>
    <w:rsid w:val="3B84074A"/>
    <w:rsid w:val="3BFD5517"/>
    <w:rsid w:val="3C23067B"/>
    <w:rsid w:val="3C293620"/>
    <w:rsid w:val="3C452D28"/>
    <w:rsid w:val="3C56641B"/>
    <w:rsid w:val="3C9524EF"/>
    <w:rsid w:val="3CCC4178"/>
    <w:rsid w:val="3CCD0A91"/>
    <w:rsid w:val="3DBD6C6F"/>
    <w:rsid w:val="3E26141A"/>
    <w:rsid w:val="3F0D232A"/>
    <w:rsid w:val="3F3D107F"/>
    <w:rsid w:val="3FA320DB"/>
    <w:rsid w:val="3FB646CF"/>
    <w:rsid w:val="3FC44AA1"/>
    <w:rsid w:val="404E2593"/>
    <w:rsid w:val="40A8629E"/>
    <w:rsid w:val="40D253D1"/>
    <w:rsid w:val="416F6065"/>
    <w:rsid w:val="419B7427"/>
    <w:rsid w:val="41A44183"/>
    <w:rsid w:val="41B91608"/>
    <w:rsid w:val="42137CD7"/>
    <w:rsid w:val="42BB392B"/>
    <w:rsid w:val="431D4A38"/>
    <w:rsid w:val="432014F5"/>
    <w:rsid w:val="437F7A06"/>
    <w:rsid w:val="441879C3"/>
    <w:rsid w:val="44380A5F"/>
    <w:rsid w:val="44632810"/>
    <w:rsid w:val="44D94A7E"/>
    <w:rsid w:val="44EF07AA"/>
    <w:rsid w:val="453719C6"/>
    <w:rsid w:val="455760BC"/>
    <w:rsid w:val="4597112F"/>
    <w:rsid w:val="46430F93"/>
    <w:rsid w:val="4749643E"/>
    <w:rsid w:val="47C27E86"/>
    <w:rsid w:val="47D82E63"/>
    <w:rsid w:val="48363E51"/>
    <w:rsid w:val="487250B9"/>
    <w:rsid w:val="487D21AF"/>
    <w:rsid w:val="48936646"/>
    <w:rsid w:val="48A60B8E"/>
    <w:rsid w:val="48D927FB"/>
    <w:rsid w:val="495B2B60"/>
    <w:rsid w:val="49FB73CD"/>
    <w:rsid w:val="4A665B3E"/>
    <w:rsid w:val="4A7F745F"/>
    <w:rsid w:val="4AA25B44"/>
    <w:rsid w:val="4AA30063"/>
    <w:rsid w:val="4ACF1B2E"/>
    <w:rsid w:val="4AE53CCD"/>
    <w:rsid w:val="4B13340E"/>
    <w:rsid w:val="4B954E8B"/>
    <w:rsid w:val="4BED480C"/>
    <w:rsid w:val="4C164207"/>
    <w:rsid w:val="4C272E93"/>
    <w:rsid w:val="4C334EB5"/>
    <w:rsid w:val="4C434D35"/>
    <w:rsid w:val="4D2466CA"/>
    <w:rsid w:val="4DAB24CC"/>
    <w:rsid w:val="4E3A54C2"/>
    <w:rsid w:val="4E9C454B"/>
    <w:rsid w:val="4ED878D1"/>
    <w:rsid w:val="50390630"/>
    <w:rsid w:val="514776F4"/>
    <w:rsid w:val="5177308B"/>
    <w:rsid w:val="517A3E56"/>
    <w:rsid w:val="51AC6DC6"/>
    <w:rsid w:val="52643252"/>
    <w:rsid w:val="53052BE1"/>
    <w:rsid w:val="532750C7"/>
    <w:rsid w:val="53620175"/>
    <w:rsid w:val="53964487"/>
    <w:rsid w:val="53BD6E64"/>
    <w:rsid w:val="53F82E2F"/>
    <w:rsid w:val="54F81729"/>
    <w:rsid w:val="552848A6"/>
    <w:rsid w:val="55410D47"/>
    <w:rsid w:val="558774F4"/>
    <w:rsid w:val="55B82075"/>
    <w:rsid w:val="55BE2B51"/>
    <w:rsid w:val="55D47456"/>
    <w:rsid w:val="563F48E4"/>
    <w:rsid w:val="57903DD3"/>
    <w:rsid w:val="579631BD"/>
    <w:rsid w:val="57A65332"/>
    <w:rsid w:val="57FE0B86"/>
    <w:rsid w:val="582A6BB8"/>
    <w:rsid w:val="584B3A21"/>
    <w:rsid w:val="58501A15"/>
    <w:rsid w:val="58700F9B"/>
    <w:rsid w:val="5888560E"/>
    <w:rsid w:val="58A006B0"/>
    <w:rsid w:val="58F0224C"/>
    <w:rsid w:val="594E4D38"/>
    <w:rsid w:val="59D63B20"/>
    <w:rsid w:val="59F11108"/>
    <w:rsid w:val="59FC73F2"/>
    <w:rsid w:val="5AB6197C"/>
    <w:rsid w:val="5BB65798"/>
    <w:rsid w:val="5BC02649"/>
    <w:rsid w:val="5BC9147D"/>
    <w:rsid w:val="5BFE7775"/>
    <w:rsid w:val="5C2F6DB3"/>
    <w:rsid w:val="5CAD006B"/>
    <w:rsid w:val="5CEF0F92"/>
    <w:rsid w:val="5D571EBC"/>
    <w:rsid w:val="5DDE0E21"/>
    <w:rsid w:val="5E811EAA"/>
    <w:rsid w:val="5EAC3ECA"/>
    <w:rsid w:val="5EF269CC"/>
    <w:rsid w:val="5EF72B5B"/>
    <w:rsid w:val="5F246FC0"/>
    <w:rsid w:val="5F3746A1"/>
    <w:rsid w:val="5F443881"/>
    <w:rsid w:val="5F6E57C2"/>
    <w:rsid w:val="5F943726"/>
    <w:rsid w:val="5FE36675"/>
    <w:rsid w:val="606C4D0A"/>
    <w:rsid w:val="60706258"/>
    <w:rsid w:val="60EC5C98"/>
    <w:rsid w:val="61372B60"/>
    <w:rsid w:val="61533A4E"/>
    <w:rsid w:val="617F22E9"/>
    <w:rsid w:val="619072A9"/>
    <w:rsid w:val="61B579E6"/>
    <w:rsid w:val="61F179BB"/>
    <w:rsid w:val="624025C6"/>
    <w:rsid w:val="628B10DF"/>
    <w:rsid w:val="62A2118C"/>
    <w:rsid w:val="635D1822"/>
    <w:rsid w:val="63C16EF5"/>
    <w:rsid w:val="647726C5"/>
    <w:rsid w:val="64BB4447"/>
    <w:rsid w:val="64F04481"/>
    <w:rsid w:val="661C4331"/>
    <w:rsid w:val="67282D3D"/>
    <w:rsid w:val="68194462"/>
    <w:rsid w:val="68944289"/>
    <w:rsid w:val="68F018CB"/>
    <w:rsid w:val="69076B05"/>
    <w:rsid w:val="69431D26"/>
    <w:rsid w:val="69F65DD0"/>
    <w:rsid w:val="6A1D2432"/>
    <w:rsid w:val="6A8C3433"/>
    <w:rsid w:val="6A964B25"/>
    <w:rsid w:val="6AA4545C"/>
    <w:rsid w:val="6AFD47EC"/>
    <w:rsid w:val="6B805BCB"/>
    <w:rsid w:val="6BBA143C"/>
    <w:rsid w:val="6C401C3D"/>
    <w:rsid w:val="6DE668AA"/>
    <w:rsid w:val="6E3B38AB"/>
    <w:rsid w:val="6E7348CA"/>
    <w:rsid w:val="6E7C1E1D"/>
    <w:rsid w:val="6E9C458A"/>
    <w:rsid w:val="6F6A4FD4"/>
    <w:rsid w:val="6F7E7F35"/>
    <w:rsid w:val="6FAF190C"/>
    <w:rsid w:val="6FD5799A"/>
    <w:rsid w:val="6FE8745D"/>
    <w:rsid w:val="70117CF7"/>
    <w:rsid w:val="707B74B9"/>
    <w:rsid w:val="70DD7619"/>
    <w:rsid w:val="70FC1401"/>
    <w:rsid w:val="710C217C"/>
    <w:rsid w:val="7111233E"/>
    <w:rsid w:val="71604497"/>
    <w:rsid w:val="72AB3799"/>
    <w:rsid w:val="73584231"/>
    <w:rsid w:val="748F6264"/>
    <w:rsid w:val="74C82F55"/>
    <w:rsid w:val="751C0392"/>
    <w:rsid w:val="7527434E"/>
    <w:rsid w:val="758C64C8"/>
    <w:rsid w:val="758E7941"/>
    <w:rsid w:val="75966F52"/>
    <w:rsid w:val="76A61F8D"/>
    <w:rsid w:val="76B74DB1"/>
    <w:rsid w:val="76E5385C"/>
    <w:rsid w:val="77195B94"/>
    <w:rsid w:val="77BB399F"/>
    <w:rsid w:val="77DE340B"/>
    <w:rsid w:val="797E0DB2"/>
    <w:rsid w:val="7B1E365A"/>
    <w:rsid w:val="7BFF2A3B"/>
    <w:rsid w:val="7C393A82"/>
    <w:rsid w:val="7C7A18D6"/>
    <w:rsid w:val="7D1B2CBC"/>
    <w:rsid w:val="7DF208FB"/>
    <w:rsid w:val="7E524BB5"/>
    <w:rsid w:val="7E556E9D"/>
    <w:rsid w:val="7E8F321B"/>
    <w:rsid w:val="7F3D31CA"/>
    <w:rsid w:val="7F5C7BB2"/>
    <w:rsid w:val="7F7F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paragraph" w:styleId="8">
    <w:name w:val="Normal (Web)"/>
    <w:basedOn w:val="1"/>
    <w:semiHidden/>
    <w:unhideWhenUsed/>
    <w:uiPriority w:val="99"/>
    <w:rPr>
      <w:sz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 w:type="paragraph" w:customStyle="1" w:styleId="1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488</Words>
  <Characters>2787</Characters>
  <Lines>1</Lines>
  <Paragraphs>1</Paragraphs>
  <TotalTime>28</TotalTime>
  <ScaleCrop>false</ScaleCrop>
  <LinksUpToDate>false</LinksUpToDate>
  <CharactersWithSpaces>3269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2022-03-28T01:51:14Z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